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28630" w14:textId="6C2B06AB" w:rsidR="00D7008F" w:rsidRPr="00D7008F" w:rsidRDefault="00D7008F" w:rsidP="00D7008F">
      <w:pPr>
        <w:ind w:left="42"/>
        <w:jc w:val="right"/>
        <w:rPr>
          <w:b/>
          <w:bCs/>
          <w:rtl/>
        </w:rPr>
      </w:pPr>
      <w:r w:rsidRPr="00D7008F">
        <w:rPr>
          <w:rFonts w:hint="cs"/>
          <w:b/>
          <w:bCs/>
          <w:rtl/>
        </w:rPr>
        <w:t>‏</w:t>
      </w:r>
      <w:r w:rsidRPr="00D7008F">
        <w:rPr>
          <w:b/>
          <w:bCs/>
          <w:rtl/>
        </w:rPr>
        <w:t xml:space="preserve">1 </w:t>
      </w:r>
      <w:r w:rsidRPr="00D7008F">
        <w:rPr>
          <w:rFonts w:hint="cs"/>
          <w:b/>
          <w:bCs/>
          <w:rtl/>
        </w:rPr>
        <w:t>יוני</w:t>
      </w:r>
      <w:r w:rsidRPr="00D7008F">
        <w:rPr>
          <w:b/>
          <w:bCs/>
          <w:rtl/>
        </w:rPr>
        <w:t xml:space="preserve"> 2015</w:t>
      </w:r>
    </w:p>
    <w:p w14:paraId="05A67AD2" w14:textId="77777777" w:rsidR="00D7008F" w:rsidRDefault="00D7008F" w:rsidP="00F40295">
      <w:pPr>
        <w:ind w:left="42"/>
        <w:rPr>
          <w:rtl/>
        </w:rPr>
      </w:pPr>
    </w:p>
    <w:p w14:paraId="1224EA2C" w14:textId="4B8E4412" w:rsidR="008B1871" w:rsidRPr="00D7008F" w:rsidRDefault="00D7008F" w:rsidP="008F5D24">
      <w:pPr>
        <w:ind w:left="42"/>
        <w:jc w:val="center"/>
        <w:rPr>
          <w:rFonts w:ascii="Tahoma" w:hAnsi="Tahoma" w:cs="Tahoma"/>
          <w:b/>
          <w:bCs/>
          <w:sz w:val="36"/>
          <w:szCs w:val="36"/>
          <w:rtl/>
        </w:rPr>
      </w:pPr>
      <w:r w:rsidRPr="00D7008F">
        <w:rPr>
          <w:rFonts w:ascii="Tahoma" w:hAnsi="Tahoma" w:cs="Tahoma"/>
          <w:b/>
          <w:bCs/>
          <w:sz w:val="36"/>
          <w:szCs w:val="36"/>
          <w:rtl/>
        </w:rPr>
        <w:t xml:space="preserve">בית הדין האזורי לעבודה בת"א חייב את </w:t>
      </w:r>
      <w:r w:rsidR="008F5D24">
        <w:rPr>
          <w:rFonts w:ascii="Tahoma" w:hAnsi="Tahoma" w:cs="Tahoma"/>
          <w:b/>
          <w:bCs/>
          <w:sz w:val="36"/>
          <w:szCs w:val="36"/>
          <w:rtl/>
        </w:rPr>
        <w:t>משרד הבריאות לנהל משא ומתן</w:t>
      </w:r>
      <w:r w:rsidR="008F5D24">
        <w:rPr>
          <w:rFonts w:ascii="Tahoma" w:hAnsi="Tahoma" w:cs="Tahoma" w:hint="cs"/>
          <w:b/>
          <w:bCs/>
          <w:sz w:val="36"/>
          <w:szCs w:val="36"/>
          <w:rtl/>
        </w:rPr>
        <w:t xml:space="preserve"> אינטנסיבי</w:t>
      </w:r>
      <w:bookmarkStart w:id="0" w:name="_GoBack"/>
      <w:bookmarkEnd w:id="0"/>
      <w:r w:rsidRPr="00D7008F">
        <w:rPr>
          <w:rFonts w:ascii="Tahoma" w:hAnsi="Tahoma" w:cs="Tahoma"/>
          <w:b/>
          <w:bCs/>
          <w:sz w:val="36"/>
          <w:szCs w:val="36"/>
          <w:rtl/>
        </w:rPr>
        <w:t xml:space="preserve"> עם איגוד העובדים הסוציאליים והסתדרות המח"ר בנוגע להשלכות הרפורמה בבריאות הנפש על העובדים</w:t>
      </w:r>
    </w:p>
    <w:p w14:paraId="2738266B" w14:textId="5641607D" w:rsidR="00D7008F" w:rsidRDefault="00D7008F" w:rsidP="00D7008F">
      <w:pPr>
        <w:ind w:left="42"/>
        <w:rPr>
          <w:rtl/>
        </w:rPr>
      </w:pPr>
      <w:r>
        <w:rPr>
          <w:rFonts w:hint="cs"/>
          <w:rtl/>
        </w:rPr>
        <w:t>---------------------------------------------------------------------------------------------------------------------------</w:t>
      </w:r>
    </w:p>
    <w:p w14:paraId="18DC05D8" w14:textId="251F7241" w:rsidR="00D7008F" w:rsidRPr="00D7008F" w:rsidRDefault="00D7008F" w:rsidP="00D7008F">
      <w:pPr>
        <w:ind w:left="42"/>
        <w:jc w:val="center"/>
        <w:rPr>
          <w:rFonts w:cs="Aharoni"/>
          <w:sz w:val="32"/>
          <w:szCs w:val="32"/>
          <w:rtl/>
        </w:rPr>
      </w:pPr>
      <w:r w:rsidRPr="00D7008F">
        <w:rPr>
          <w:rFonts w:cs="Aharoni" w:hint="cs"/>
          <w:sz w:val="32"/>
          <w:szCs w:val="32"/>
          <w:rtl/>
        </w:rPr>
        <w:t>השופט אורן שגב מתח ביקורת חריפה על משרד הבריאות: "</w:t>
      </w:r>
      <w:r w:rsidRPr="00D7008F">
        <w:rPr>
          <w:rFonts w:cs="Aharoni" w:hint="cs"/>
          <w:sz w:val="32"/>
          <w:szCs w:val="32"/>
          <w:rtl/>
        </w:rPr>
        <w:t>מדובר בהתנהלות</w:t>
      </w:r>
      <w:r w:rsidRPr="00D7008F">
        <w:rPr>
          <w:rFonts w:cs="Aharoni" w:hint="cs"/>
          <w:sz w:val="32"/>
          <w:szCs w:val="32"/>
          <w:rtl/>
        </w:rPr>
        <w:t xml:space="preserve"> </w:t>
      </w:r>
      <w:r w:rsidRPr="00D7008F">
        <w:rPr>
          <w:rFonts w:cs="Aharoni" w:hint="cs"/>
          <w:sz w:val="32"/>
          <w:szCs w:val="32"/>
          <w:rtl/>
        </w:rPr>
        <w:t>לא ר</w:t>
      </w:r>
      <w:r w:rsidRPr="00D7008F">
        <w:rPr>
          <w:rFonts w:cs="Aharoni" w:hint="cs"/>
          <w:sz w:val="32"/>
          <w:szCs w:val="32"/>
          <w:rtl/>
        </w:rPr>
        <w:t>אויה, שעה שהיא באה מצד המדינה"</w:t>
      </w:r>
    </w:p>
    <w:p w14:paraId="0F9C9583" w14:textId="75B66BD7" w:rsidR="00D7008F" w:rsidRDefault="00D7008F" w:rsidP="00D7008F">
      <w:pPr>
        <w:ind w:left="42"/>
        <w:rPr>
          <w:rtl/>
        </w:rPr>
      </w:pPr>
    </w:p>
    <w:p w14:paraId="0CBAD3D8" w14:textId="32E8D065" w:rsidR="00F85CE0" w:rsidRDefault="00F85CE0" w:rsidP="00F40295">
      <w:pPr>
        <w:ind w:left="42"/>
        <w:rPr>
          <w:rtl/>
        </w:rPr>
      </w:pPr>
    </w:p>
    <w:p w14:paraId="27E513BA" w14:textId="15442C15" w:rsidR="00ED1B1A" w:rsidRPr="00D7008F" w:rsidRDefault="00F85CE0" w:rsidP="00A07820">
      <w:pPr>
        <w:ind w:left="42"/>
        <w:rPr>
          <w:rFonts w:hint="cs"/>
          <w:sz w:val="24"/>
          <w:szCs w:val="24"/>
          <w:rtl/>
        </w:rPr>
      </w:pPr>
      <w:r w:rsidRPr="00D7008F">
        <w:rPr>
          <w:rFonts w:hint="cs"/>
          <w:sz w:val="24"/>
          <w:szCs w:val="24"/>
          <w:rtl/>
        </w:rPr>
        <w:t xml:space="preserve">בית הדין האזורי לעבודה בתל-אביב חייב את משרד הבריאות לנהל משא-ומתן אינטנסיבי ומואץ </w:t>
      </w:r>
      <w:r w:rsidR="0052073F" w:rsidRPr="00D7008F">
        <w:rPr>
          <w:rFonts w:hint="cs"/>
          <w:sz w:val="24"/>
          <w:szCs w:val="24"/>
          <w:rtl/>
        </w:rPr>
        <w:t>עם הסתדרות המח"ר ואיגוד העובדים הסוציאליים באשר ל</w:t>
      </w:r>
      <w:r w:rsidR="00ED1B1A" w:rsidRPr="00D7008F">
        <w:rPr>
          <w:rFonts w:hint="cs"/>
          <w:sz w:val="24"/>
          <w:szCs w:val="24"/>
          <w:rtl/>
        </w:rPr>
        <w:t>יישום ה</w:t>
      </w:r>
      <w:r w:rsidR="0052073F" w:rsidRPr="00D7008F">
        <w:rPr>
          <w:rFonts w:hint="cs"/>
          <w:sz w:val="24"/>
          <w:szCs w:val="24"/>
          <w:rtl/>
        </w:rPr>
        <w:t>רפורמה בבריאות הנפש, האמורה להיכנס לתוק</w:t>
      </w:r>
      <w:r w:rsidR="00A07820" w:rsidRPr="00D7008F">
        <w:rPr>
          <w:rFonts w:hint="cs"/>
          <w:sz w:val="24"/>
          <w:szCs w:val="24"/>
          <w:rtl/>
        </w:rPr>
        <w:t>ף</w:t>
      </w:r>
      <w:r w:rsidR="0052073F" w:rsidRPr="00D7008F">
        <w:rPr>
          <w:rFonts w:hint="cs"/>
          <w:sz w:val="24"/>
          <w:szCs w:val="24"/>
          <w:rtl/>
        </w:rPr>
        <w:t xml:space="preserve"> ב-1 ביולי. בית הדין מתח ביקורת חריפה על המדינה שנמנעה עד כה מלקיים משא-ומתן </w:t>
      </w:r>
      <w:r w:rsidR="00ED1B1A" w:rsidRPr="00D7008F">
        <w:rPr>
          <w:rFonts w:hint="cs"/>
          <w:sz w:val="24"/>
          <w:szCs w:val="24"/>
          <w:rtl/>
        </w:rPr>
        <w:t xml:space="preserve">עם שני ארגונים העובדים וההשלכות הצפויות באשר להעסקתם של העובדים הסוציאליים והפסיכולוגים </w:t>
      </w:r>
      <w:r w:rsidR="00A07820" w:rsidRPr="00D7008F">
        <w:rPr>
          <w:rFonts w:hint="cs"/>
          <w:sz w:val="24"/>
          <w:szCs w:val="24"/>
          <w:rtl/>
        </w:rPr>
        <w:t>ו</w:t>
      </w:r>
      <w:r w:rsidR="00ED1B1A" w:rsidRPr="00D7008F">
        <w:rPr>
          <w:rFonts w:hint="cs"/>
          <w:sz w:val="24"/>
          <w:szCs w:val="24"/>
          <w:rtl/>
        </w:rPr>
        <w:t>קבע כי המדינה לא קיימה את חובותיה במישור ההסכם הקיבוצי.</w:t>
      </w:r>
    </w:p>
    <w:p w14:paraId="20441038" w14:textId="77777777" w:rsidR="00ED1B1A" w:rsidRPr="00D7008F" w:rsidRDefault="00ED1B1A" w:rsidP="00F40295">
      <w:pPr>
        <w:ind w:left="42"/>
        <w:rPr>
          <w:sz w:val="24"/>
          <w:szCs w:val="24"/>
          <w:rtl/>
        </w:rPr>
      </w:pPr>
    </w:p>
    <w:p w14:paraId="13E2056A" w14:textId="5BEA64B4" w:rsidR="00ED1B1A" w:rsidRPr="00D7008F" w:rsidRDefault="00ED1B1A" w:rsidP="00ED1B1A">
      <w:pPr>
        <w:ind w:left="42"/>
        <w:rPr>
          <w:sz w:val="24"/>
          <w:szCs w:val="24"/>
          <w:rtl/>
        </w:rPr>
      </w:pPr>
      <w:r w:rsidRPr="00D7008F">
        <w:rPr>
          <w:rFonts w:hint="cs"/>
          <w:sz w:val="24"/>
          <w:szCs w:val="24"/>
          <w:rtl/>
        </w:rPr>
        <w:t>בפנייתם של איגוד העובדים הסוציאליים והסתדרות המח"ר לבית הדין לעבודה</w:t>
      </w:r>
      <w:r w:rsidR="00A07820" w:rsidRPr="00D7008F">
        <w:rPr>
          <w:rFonts w:hint="cs"/>
          <w:sz w:val="24"/>
          <w:szCs w:val="24"/>
          <w:rtl/>
        </w:rPr>
        <w:t>,</w:t>
      </w:r>
      <w:r w:rsidRPr="00D7008F">
        <w:rPr>
          <w:rFonts w:hint="cs"/>
          <w:sz w:val="24"/>
          <w:szCs w:val="24"/>
          <w:rtl/>
        </w:rPr>
        <w:t xml:space="preserve"> הם טענו כי משרד הבריאות עתיד להתחיל ביישומה של הרפורמה בבריאות הנפש, שמשמעותה העברת הטיפול בתחום שירותי בריאות הנפש ממשרד הבריאות לקופות החולים, מבלי לקחת בחשבון את ההשלכות המרחיקות לכת על תנאי העסקתם של הפסיכולוגים והעובדים הסוציאליים.</w:t>
      </w:r>
    </w:p>
    <w:p w14:paraId="671ECB9F" w14:textId="77777777" w:rsidR="00ED1B1A" w:rsidRPr="00D7008F" w:rsidRDefault="00ED1B1A" w:rsidP="00ED1B1A">
      <w:pPr>
        <w:ind w:left="42"/>
        <w:rPr>
          <w:sz w:val="24"/>
          <w:szCs w:val="24"/>
          <w:rtl/>
        </w:rPr>
      </w:pPr>
    </w:p>
    <w:p w14:paraId="3541A878" w14:textId="565273E6" w:rsidR="00F85CE0" w:rsidRPr="00D7008F" w:rsidRDefault="00ED1B1A" w:rsidP="00226510">
      <w:pPr>
        <w:ind w:left="42"/>
        <w:rPr>
          <w:rFonts w:hint="cs"/>
          <w:sz w:val="24"/>
          <w:szCs w:val="24"/>
          <w:rtl/>
        </w:rPr>
      </w:pPr>
      <w:r w:rsidRPr="00D7008F">
        <w:rPr>
          <w:rFonts w:hint="cs"/>
          <w:sz w:val="24"/>
          <w:szCs w:val="24"/>
          <w:rtl/>
        </w:rPr>
        <w:t xml:space="preserve">בהחלטתו קבע השופט </w:t>
      </w:r>
      <w:r w:rsidR="00226510" w:rsidRPr="00D7008F">
        <w:rPr>
          <w:rFonts w:hint="cs"/>
          <w:sz w:val="24"/>
          <w:szCs w:val="24"/>
          <w:rtl/>
        </w:rPr>
        <w:t>אורן שגב מבית הדין האזורי לעבודה כי השקתה של הרפורמה מחייבת את המדינה להידבר עם העובדים ובמידת הצורך לנהל עימם משא ומתן, במטרה לעגן את זכויותיהם לנוכח השינויים הדרמטיים. "תנאי מקדמי לכך הוא מסירת כל האינפורמציה הרלוונטית, הן במישור הפרופסיונאלי והן בכל הנוגע לתקנים, כוח אדם וכל נתון אחר שיש בו כדי לשפוך אור על תנאי העסקתם של העובדים".</w:t>
      </w:r>
    </w:p>
    <w:p w14:paraId="7E45C98F" w14:textId="77777777" w:rsidR="00226510" w:rsidRPr="00D7008F" w:rsidRDefault="00226510" w:rsidP="00226510">
      <w:pPr>
        <w:ind w:left="42"/>
        <w:rPr>
          <w:sz w:val="24"/>
          <w:szCs w:val="24"/>
          <w:rtl/>
        </w:rPr>
      </w:pPr>
    </w:p>
    <w:p w14:paraId="042F2566" w14:textId="13138A80" w:rsidR="00226510" w:rsidRPr="00D7008F" w:rsidRDefault="00226510" w:rsidP="00226510">
      <w:pPr>
        <w:ind w:left="42"/>
        <w:rPr>
          <w:sz w:val="24"/>
          <w:szCs w:val="24"/>
          <w:rtl/>
        </w:rPr>
      </w:pPr>
      <w:r w:rsidRPr="00D7008F">
        <w:rPr>
          <w:rFonts w:hint="cs"/>
          <w:sz w:val="24"/>
          <w:szCs w:val="24"/>
          <w:rtl/>
        </w:rPr>
        <w:t xml:space="preserve">השופט שגב מתח ביקורת חריפה על משרד הבריאות וטען כי אין זה סביר כלל ועיקר, כי פניות של ראשי הארגונים, יו"ר איגוד העובדים הסוציאליים ויו"ר הסתדרות המח"ר, לאחראים במשרד הבריאות נותרות ללא מענה. "מדובר בהתנהלות, שבלשון המעטה, ניתן להגדירה כלא ראויה, שעה שהיא באה מצד המדינה". </w:t>
      </w:r>
    </w:p>
    <w:p w14:paraId="50A63386" w14:textId="77777777" w:rsidR="00226510" w:rsidRPr="00D7008F" w:rsidRDefault="00226510" w:rsidP="00226510">
      <w:pPr>
        <w:ind w:left="42"/>
        <w:rPr>
          <w:sz w:val="24"/>
          <w:szCs w:val="24"/>
          <w:rtl/>
        </w:rPr>
      </w:pPr>
    </w:p>
    <w:p w14:paraId="044D0DB0" w14:textId="4104EB6F" w:rsidR="00226510" w:rsidRPr="00D7008F" w:rsidRDefault="00226510" w:rsidP="00226510">
      <w:pPr>
        <w:ind w:left="42"/>
        <w:rPr>
          <w:rFonts w:hint="cs"/>
          <w:sz w:val="24"/>
          <w:szCs w:val="24"/>
          <w:rtl/>
        </w:rPr>
      </w:pPr>
      <w:r w:rsidRPr="00D7008F">
        <w:rPr>
          <w:rFonts w:hint="cs"/>
          <w:sz w:val="24"/>
          <w:szCs w:val="24"/>
          <w:rtl/>
        </w:rPr>
        <w:t>השופט הוסיף כי אין בידי בית הדין לקבל את טענת המדינה כי כל המידע היה ועודנו פתוח לציבור באינטרנט. "אין בין זה לבין מסירת מידע רלוונטי לארגוני העובדים ביחס לתנאי העסקתם של העובדים ולא כלום", אמר השופט אורן שגב. "חובתה של המדינה למסור מידע רלוונטי לארגוני העובדים אינה באה על חשבון חובתה ליידע את הציבור בנוגע לשירותים שהיא מעניקה לו".</w:t>
      </w:r>
    </w:p>
    <w:p w14:paraId="4326C29D" w14:textId="77777777" w:rsidR="00226510" w:rsidRPr="00D7008F" w:rsidRDefault="00226510" w:rsidP="00226510">
      <w:pPr>
        <w:ind w:left="42"/>
        <w:rPr>
          <w:sz w:val="24"/>
          <w:szCs w:val="24"/>
          <w:rtl/>
        </w:rPr>
      </w:pPr>
    </w:p>
    <w:p w14:paraId="7504EAA8" w14:textId="56E6B42D" w:rsidR="00226510" w:rsidRPr="00D7008F" w:rsidRDefault="00550171" w:rsidP="00A07820">
      <w:pPr>
        <w:ind w:left="42"/>
        <w:rPr>
          <w:sz w:val="24"/>
          <w:szCs w:val="24"/>
          <w:rtl/>
        </w:rPr>
      </w:pPr>
      <w:r w:rsidRPr="00D7008F">
        <w:rPr>
          <w:rFonts w:hint="cs"/>
          <w:sz w:val="24"/>
          <w:szCs w:val="24"/>
          <w:rtl/>
        </w:rPr>
        <w:t xml:space="preserve">"החשש לביטחונם התעסוקתי של העובדים, כתוצאה מהרפורמה, ברור וקונקרטי דיו, במיוחד לאור העובדה שהוכח לפנינו כי קופות החולים או משרד הבריאות עצמו לא התחייבו באופן כלשהו שתנאי העסקתם של העובדים לא ישתנו לרעה כתוצאה מהרפורמה", קבע בית הדין. </w:t>
      </w:r>
    </w:p>
    <w:p w14:paraId="483DF117" w14:textId="77777777" w:rsidR="00550171" w:rsidRPr="00D7008F" w:rsidRDefault="00550171" w:rsidP="00226510">
      <w:pPr>
        <w:ind w:left="42"/>
        <w:rPr>
          <w:sz w:val="24"/>
          <w:szCs w:val="24"/>
          <w:rtl/>
        </w:rPr>
      </w:pPr>
    </w:p>
    <w:p w14:paraId="1FE84E94" w14:textId="77777777" w:rsidR="00550171" w:rsidRPr="00D7008F" w:rsidRDefault="00550171" w:rsidP="00550171">
      <w:pPr>
        <w:ind w:left="42"/>
        <w:rPr>
          <w:rFonts w:hint="cs"/>
          <w:sz w:val="24"/>
          <w:szCs w:val="24"/>
          <w:rtl/>
        </w:rPr>
      </w:pPr>
      <w:r w:rsidRPr="00D7008F">
        <w:rPr>
          <w:rFonts w:hint="cs"/>
          <w:sz w:val="24"/>
          <w:szCs w:val="24"/>
          <w:rtl/>
        </w:rPr>
        <w:t xml:space="preserve">לאור זאת לא מצא בית הדין מקום לעכב את תחילת יישומה של הרפורמה, אולם קבע כי על משרד הבריאות להביא לידיעת איגוד העובדים הסוציאליים והסתדרות המח"ר את מלוא המידע בנוגע לרפורמה בשירותי בריאות הנפש ולנהל עימם משא ומתן קיבוצי "בתום לב ובנפש חפצה". בית הדין הורה למשרד הבריאות להחל את המשא ומתן עם ארגוני העובדים לא יאוחר מיום 4.6.15 ולדווח לבית המשפט 24 שעות אחרי כל מפגש. </w:t>
      </w:r>
    </w:p>
    <w:p w14:paraId="6873110B" w14:textId="77777777" w:rsidR="00550171" w:rsidRPr="00D7008F" w:rsidRDefault="00550171" w:rsidP="00550171">
      <w:pPr>
        <w:ind w:left="42"/>
        <w:rPr>
          <w:sz w:val="24"/>
          <w:szCs w:val="24"/>
          <w:rtl/>
        </w:rPr>
      </w:pPr>
    </w:p>
    <w:p w14:paraId="200F7B4D" w14:textId="225D3EAF" w:rsidR="00D20937" w:rsidRDefault="00550171" w:rsidP="00D7008F">
      <w:pPr>
        <w:ind w:left="42"/>
        <w:rPr>
          <w:sz w:val="24"/>
          <w:szCs w:val="24"/>
          <w:rtl/>
        </w:rPr>
      </w:pPr>
      <w:r w:rsidRPr="00D7008F">
        <w:rPr>
          <w:rFonts w:hint="cs"/>
          <w:sz w:val="24"/>
          <w:szCs w:val="24"/>
          <w:rtl/>
        </w:rPr>
        <w:t>בית הדין דרש כי המשא ומתן יתייחס לא רק לתנאי העסקתם של העובדים הסוציאליים והפסיכולוגים הקליניים ולביטחונם התעסוקתי, אלא גם לעתידם של המתמחים בפסיכולוגיה קלינית בתחנות לבריאות הנפש, לאור החלת הרפורמה.</w:t>
      </w:r>
    </w:p>
    <w:p w14:paraId="7BD0E949" w14:textId="6FDA6975" w:rsidR="00505798" w:rsidRPr="00505798" w:rsidRDefault="00505798" w:rsidP="00505798">
      <w:pPr>
        <w:ind w:left="42"/>
        <w:jc w:val="right"/>
        <w:rPr>
          <w:rFonts w:cs="Aharoni"/>
          <w:b/>
          <w:bCs/>
          <w:sz w:val="24"/>
          <w:szCs w:val="24"/>
          <w:rtl/>
        </w:rPr>
      </w:pPr>
      <w:r w:rsidRPr="00505798">
        <w:rPr>
          <w:rFonts w:cs="Aharoni" w:hint="cs"/>
          <w:b/>
          <w:bCs/>
          <w:sz w:val="24"/>
          <w:szCs w:val="24"/>
          <w:rtl/>
        </w:rPr>
        <w:t>[ס"ק 17905-04-15]</w:t>
      </w:r>
    </w:p>
    <w:p w14:paraId="00CB1F1B" w14:textId="465042AA" w:rsidR="00960197" w:rsidRDefault="00960197" w:rsidP="00960197">
      <w:pPr>
        <w:ind w:left="42"/>
        <w:jc w:val="right"/>
        <w:rPr>
          <w:sz w:val="24"/>
          <w:szCs w:val="24"/>
          <w:rtl/>
        </w:rPr>
      </w:pPr>
      <w:r>
        <w:rPr>
          <w:rFonts w:hint="cs"/>
          <w:sz w:val="24"/>
          <w:szCs w:val="24"/>
          <w:rtl/>
        </w:rPr>
        <w:t>--------------------------------------------------------------------------------------------------------------------------</w:t>
      </w:r>
    </w:p>
    <w:p w14:paraId="699BCBF2" w14:textId="733B1CBB" w:rsidR="00960197" w:rsidRPr="00960197" w:rsidRDefault="00960197" w:rsidP="00960197">
      <w:pPr>
        <w:ind w:left="42"/>
        <w:jc w:val="right"/>
        <w:rPr>
          <w:rFonts w:cs="Guttman Yad-Brush"/>
          <w:b/>
          <w:bCs/>
          <w:sz w:val="24"/>
          <w:szCs w:val="24"/>
          <w:rtl/>
        </w:rPr>
      </w:pPr>
      <w:r w:rsidRPr="00960197">
        <w:rPr>
          <w:rFonts w:cs="Guttman Yad-Brush" w:hint="cs"/>
          <w:b/>
          <w:bCs/>
          <w:sz w:val="24"/>
          <w:szCs w:val="24"/>
          <w:rtl/>
        </w:rPr>
        <w:t xml:space="preserve">לפרטים: דוד גולן, דובר איגוד העובדים הסוציאליים </w:t>
      </w:r>
      <w:r w:rsidRPr="00960197">
        <w:rPr>
          <w:rFonts w:cs="Guttman Yad-Brush"/>
          <w:b/>
          <w:bCs/>
          <w:sz w:val="24"/>
          <w:szCs w:val="24"/>
          <w:rtl/>
        </w:rPr>
        <w:t>–</w:t>
      </w:r>
      <w:r w:rsidRPr="00960197">
        <w:rPr>
          <w:rFonts w:cs="Guttman Yad-Brush" w:hint="cs"/>
          <w:b/>
          <w:bCs/>
          <w:sz w:val="24"/>
          <w:szCs w:val="24"/>
          <w:rtl/>
        </w:rPr>
        <w:t xml:space="preserve"> 050-5702070</w:t>
      </w:r>
    </w:p>
    <w:sectPr w:rsidR="00960197" w:rsidRPr="00960197" w:rsidSect="00475F5F">
      <w:headerReference w:type="default" r:id="rId6"/>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EA2F" w14:textId="77777777" w:rsidR="00C07B11" w:rsidRDefault="00C07B11" w:rsidP="00073714">
      <w:r>
        <w:separator/>
      </w:r>
    </w:p>
  </w:endnote>
  <w:endnote w:type="continuationSeparator" w:id="0">
    <w:p w14:paraId="1224EA30" w14:textId="77777777" w:rsidR="00C07B11" w:rsidRDefault="00C07B11" w:rsidP="000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Guttman Keren">
    <w:altName w:val="Segoe UI Semilight"/>
    <w:charset w:val="B1"/>
    <w:family w:val="auto"/>
    <w:pitch w:val="variable"/>
    <w:sig w:usb0="00000800"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EA32" w14:textId="77777777" w:rsidR="00073714" w:rsidRPr="00073714" w:rsidRDefault="00D801CE" w:rsidP="00073714">
    <w:pPr>
      <w:pStyle w:val="a5"/>
      <w:spacing w:before="100" w:beforeAutospacing="1" w:after="100" w:afterAutospacing="1"/>
      <w:ind w:left="-1644"/>
      <w:rPr>
        <w:rtl/>
      </w:rPr>
    </w:pPr>
    <w:r>
      <w:rPr>
        <w:rFonts w:hint="cs"/>
        <w:noProof/>
        <w:rtl/>
      </w:rPr>
      <w:drawing>
        <wp:inline distT="0" distB="0" distL="0" distR="0" wp14:anchorId="1224EA35" wp14:editId="4373283D">
          <wp:extent cx="8337550" cy="457200"/>
          <wp:effectExtent l="0" t="0" r="635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2918" cy="4629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4EA2D" w14:textId="77777777" w:rsidR="00C07B11" w:rsidRDefault="00C07B11" w:rsidP="00073714">
      <w:r>
        <w:separator/>
      </w:r>
    </w:p>
  </w:footnote>
  <w:footnote w:type="continuationSeparator" w:id="0">
    <w:p w14:paraId="1224EA2E" w14:textId="77777777" w:rsidR="00C07B11" w:rsidRDefault="00C07B11" w:rsidP="0007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5699" w14:textId="77777777" w:rsidR="00957EB1" w:rsidRPr="005561C4" w:rsidRDefault="00957EB1" w:rsidP="00073714">
    <w:pPr>
      <w:pStyle w:val="a3"/>
      <w:rPr>
        <w:color w:val="E36C0A" w:themeColor="accent6" w:themeShade="BF"/>
        <w:sz w:val="40"/>
        <w:szCs w:val="40"/>
        <w:rtl/>
      </w:rPr>
    </w:pPr>
    <w:r w:rsidRPr="005561C4">
      <w:rPr>
        <w:rFonts w:hint="cs"/>
        <w:noProof/>
        <w:color w:val="E36C0A" w:themeColor="accent6" w:themeShade="BF"/>
        <w:sz w:val="40"/>
        <w:szCs w:val="40"/>
      </w:rPr>
      <w:drawing>
        <wp:anchor distT="0" distB="0" distL="114300" distR="114300" simplePos="0" relativeHeight="251658240" behindDoc="1" locked="0" layoutInCell="1" allowOverlap="1" wp14:anchorId="56772EA6" wp14:editId="2870F7A2">
          <wp:simplePos x="0" y="0"/>
          <wp:positionH relativeFrom="column">
            <wp:posOffset>-220980</wp:posOffset>
          </wp:positionH>
          <wp:positionV relativeFrom="paragraph">
            <wp:posOffset>-335280</wp:posOffset>
          </wp:positionV>
          <wp:extent cx="1943100" cy="676275"/>
          <wp:effectExtent l="0" t="0" r="0" b="0"/>
          <wp:wrapNone/>
          <wp:docPr id="4" name="תמונה 4" descr="לוגו חדש גדו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לוגו חדש גדול"/>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w="9525">
                    <a:noFill/>
                    <a:miter lim="800000"/>
                    <a:headEnd/>
                    <a:tailEnd/>
                  </a:ln>
                </pic:spPr>
              </pic:pic>
            </a:graphicData>
          </a:graphic>
        </wp:anchor>
      </w:drawing>
    </w:r>
    <w:r w:rsidR="00E83182" w:rsidRPr="005561C4">
      <w:rPr>
        <w:rFonts w:ascii="Times New Roman" w:hAnsi="Times New Roman" w:cs="Guttman Keren"/>
        <w:b/>
        <w:bCs/>
        <w:color w:val="E36C0A" w:themeColor="accent6" w:themeShade="BF"/>
        <w:sz w:val="40"/>
        <w:szCs w:val="40"/>
        <w:u w:val="single"/>
        <w:rtl/>
      </w:rPr>
      <w:t>הודעה לתקשורת</w:t>
    </w:r>
    <w:r w:rsidR="00E83182" w:rsidRPr="005561C4">
      <w:rPr>
        <w:rFonts w:hint="cs"/>
        <w:color w:val="E36C0A" w:themeColor="accent6" w:themeShade="BF"/>
        <w:sz w:val="40"/>
        <w:szCs w:val="40"/>
        <w:rtl/>
      </w:rPr>
      <w:t xml:space="preserve">                                                                                                    </w:t>
    </w:r>
  </w:p>
  <w:p w14:paraId="1224EA31" w14:textId="7CF81C1F" w:rsidR="00E83182" w:rsidRPr="00957EB1" w:rsidRDefault="00E83182" w:rsidP="00073714">
    <w:pPr>
      <w:pStyle w:val="a3"/>
      <w:rPr>
        <w:noProof/>
        <w:color w:val="E36C0A" w:themeColor="accent6" w:themeShade="BF"/>
        <w:rtl/>
      </w:rPr>
    </w:pPr>
    <w:r w:rsidRPr="00957EB1">
      <w:rPr>
        <w:rFonts w:hint="cs"/>
        <w:color w:val="E36C0A" w:themeColor="accent6" w:themeShade="BF"/>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20"/>
    <w:rsid w:val="00063120"/>
    <w:rsid w:val="00073714"/>
    <w:rsid w:val="00157E5D"/>
    <w:rsid w:val="00226510"/>
    <w:rsid w:val="00320AF7"/>
    <w:rsid w:val="0045334D"/>
    <w:rsid w:val="00475F5F"/>
    <w:rsid w:val="00505798"/>
    <w:rsid w:val="0052073F"/>
    <w:rsid w:val="00550171"/>
    <w:rsid w:val="005561C4"/>
    <w:rsid w:val="00775B6F"/>
    <w:rsid w:val="008B1871"/>
    <w:rsid w:val="008F5D24"/>
    <w:rsid w:val="00957EB1"/>
    <w:rsid w:val="00960197"/>
    <w:rsid w:val="009959FC"/>
    <w:rsid w:val="00A07820"/>
    <w:rsid w:val="00A929A9"/>
    <w:rsid w:val="00C07B11"/>
    <w:rsid w:val="00D20937"/>
    <w:rsid w:val="00D7008F"/>
    <w:rsid w:val="00D801CE"/>
    <w:rsid w:val="00E83182"/>
    <w:rsid w:val="00ED1B1A"/>
    <w:rsid w:val="00EF25BA"/>
    <w:rsid w:val="00F40295"/>
    <w:rsid w:val="00F85CE0"/>
    <w:rsid w:val="00FD7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24EA2C"/>
  <w15:docId w15:val="{D1758574-246F-4E98-97C3-211C82B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Narkisim"/>
        <w:sz w:val="22"/>
        <w:szCs w:val="28"/>
        <w:lang w:val="en-US" w:eastAsia="en-US" w:bidi="he-IL"/>
      </w:rPr>
    </w:rPrDefault>
    <w:pPrDefault>
      <w:pPr>
        <w:ind w:left="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82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714"/>
    <w:pPr>
      <w:tabs>
        <w:tab w:val="center" w:pos="4153"/>
        <w:tab w:val="right" w:pos="8306"/>
      </w:tabs>
    </w:pPr>
  </w:style>
  <w:style w:type="character" w:customStyle="1" w:styleId="a4">
    <w:name w:val="כותרת עליונה תו"/>
    <w:basedOn w:val="a0"/>
    <w:link w:val="a3"/>
    <w:uiPriority w:val="99"/>
    <w:rsid w:val="00073714"/>
  </w:style>
  <w:style w:type="paragraph" w:styleId="a5">
    <w:name w:val="footer"/>
    <w:basedOn w:val="a"/>
    <w:link w:val="a6"/>
    <w:uiPriority w:val="99"/>
    <w:unhideWhenUsed/>
    <w:rsid w:val="00073714"/>
    <w:pPr>
      <w:tabs>
        <w:tab w:val="center" w:pos="4153"/>
        <w:tab w:val="right" w:pos="8306"/>
      </w:tabs>
    </w:pPr>
  </w:style>
  <w:style w:type="character" w:customStyle="1" w:styleId="a6">
    <w:name w:val="כותרת תחתונה תו"/>
    <w:basedOn w:val="a0"/>
    <w:link w:val="a5"/>
    <w:uiPriority w:val="99"/>
    <w:rsid w:val="00073714"/>
  </w:style>
  <w:style w:type="paragraph" w:styleId="a7">
    <w:name w:val="Balloon Text"/>
    <w:basedOn w:val="a"/>
    <w:link w:val="a8"/>
    <w:uiPriority w:val="99"/>
    <w:semiHidden/>
    <w:unhideWhenUsed/>
    <w:rsid w:val="00073714"/>
    <w:rPr>
      <w:rFonts w:ascii="Tahoma" w:hAnsi="Tahoma" w:cs="Tahoma"/>
      <w:sz w:val="16"/>
      <w:szCs w:val="16"/>
    </w:rPr>
  </w:style>
  <w:style w:type="character" w:customStyle="1" w:styleId="a8">
    <w:name w:val="טקסט בלונים תו"/>
    <w:basedOn w:val="a0"/>
    <w:link w:val="a7"/>
    <w:uiPriority w:val="99"/>
    <w:semiHidden/>
    <w:rsid w:val="00073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513</Words>
  <Characters>2570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דוד גולן</cp:lastModifiedBy>
  <cp:revision>7</cp:revision>
  <cp:lastPrinted>2011-11-02T10:04:00Z</cp:lastPrinted>
  <dcterms:created xsi:type="dcterms:W3CDTF">2015-06-01T07:34:00Z</dcterms:created>
  <dcterms:modified xsi:type="dcterms:W3CDTF">2015-06-01T08:38:00Z</dcterms:modified>
</cp:coreProperties>
</file>