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E7F" w:rsidRDefault="00747E7F" w:rsidP="00747E7F">
      <w:pPr>
        <w:bidi/>
        <w:spacing w:before="240" w:after="120"/>
        <w:rPr>
          <w:rFonts w:ascii="Microsoft Uighur" w:hAnsi="Microsoft Uighur" w:cs="David" w:hint="cs"/>
          <w:color w:val="000000"/>
          <w:rtl/>
        </w:rPr>
      </w:pPr>
      <w:r>
        <w:rPr>
          <w:rFonts w:ascii="Microsoft Uighur" w:hAnsi="Microsoft Uighur" w:cs="David" w:hint="cs"/>
          <w:color w:val="000000"/>
          <w:rtl/>
        </w:rPr>
        <w:t>לכבוד</w:t>
      </w:r>
    </w:p>
    <w:p w:rsidR="00747E7F" w:rsidRDefault="00747E7F" w:rsidP="00747E7F">
      <w:pPr>
        <w:bidi/>
        <w:rPr>
          <w:rFonts w:ascii="Microsoft Uighur" w:hAnsi="Microsoft Uighur" w:cs="David" w:hint="cs"/>
          <w:color w:val="000000"/>
          <w:rtl/>
        </w:rPr>
      </w:pPr>
      <w:r>
        <w:rPr>
          <w:rFonts w:ascii="Microsoft Uighur" w:hAnsi="Microsoft Uighur" w:cs="David" w:hint="cs"/>
          <w:color w:val="000000"/>
          <w:rtl/>
        </w:rPr>
        <w:t xml:space="preserve">מר יהודה </w:t>
      </w:r>
      <w:proofErr w:type="spellStart"/>
      <w:r>
        <w:rPr>
          <w:rFonts w:ascii="Microsoft Uighur" w:hAnsi="Microsoft Uighur" w:cs="David" w:hint="cs"/>
          <w:color w:val="000000"/>
          <w:rtl/>
        </w:rPr>
        <w:t>וינשטיין</w:t>
      </w:r>
      <w:proofErr w:type="spellEnd"/>
    </w:p>
    <w:p w:rsidR="00747E7F" w:rsidRDefault="00747E7F" w:rsidP="00747E7F">
      <w:pPr>
        <w:bidi/>
        <w:rPr>
          <w:rFonts w:ascii="Microsoft Uighur" w:hAnsi="Microsoft Uighur" w:cs="David" w:hint="cs"/>
          <w:color w:val="000000"/>
          <w:u w:val="single"/>
          <w:rtl/>
        </w:rPr>
      </w:pPr>
      <w:r>
        <w:rPr>
          <w:rFonts w:ascii="Microsoft Uighur" w:hAnsi="Microsoft Uighur" w:cs="David" w:hint="cs"/>
          <w:color w:val="000000"/>
          <w:u w:val="single"/>
          <w:rtl/>
        </w:rPr>
        <w:t>היועץ המשפטי לממשלה</w:t>
      </w:r>
    </w:p>
    <w:p w:rsidR="00747E7F" w:rsidRDefault="00747E7F" w:rsidP="00747E7F">
      <w:pPr>
        <w:bidi/>
        <w:rPr>
          <w:rFonts w:ascii="Microsoft Uighur" w:hAnsi="Microsoft Uighur" w:cs="David" w:hint="cs"/>
          <w:color w:val="000000"/>
          <w:rtl/>
        </w:rPr>
      </w:pPr>
      <w:r>
        <w:rPr>
          <w:rFonts w:ascii="Microsoft Uighur" w:hAnsi="Microsoft Uighur" w:cs="David" w:hint="cs"/>
          <w:color w:val="000000"/>
          <w:rtl/>
        </w:rPr>
        <w:t xml:space="preserve">בפקס: </w:t>
      </w:r>
      <w:r>
        <w:rPr>
          <w:rFonts w:cs="David" w:hint="cs"/>
          <w:color w:val="000000"/>
          <w:rtl/>
        </w:rPr>
        <w:t>02-6467001</w:t>
      </w:r>
    </w:p>
    <w:p w:rsidR="00747E7F" w:rsidRDefault="00747E7F" w:rsidP="00747E7F">
      <w:pPr>
        <w:bidi/>
        <w:rPr>
          <w:rFonts w:ascii="Microsoft Uighur" w:hAnsi="Microsoft Uighur" w:cs="David" w:hint="cs"/>
          <w:color w:val="000000"/>
          <w:rtl/>
        </w:rPr>
      </w:pPr>
    </w:p>
    <w:p w:rsidR="00747E7F" w:rsidRDefault="00747E7F" w:rsidP="00747E7F">
      <w:pPr>
        <w:bidi/>
        <w:rPr>
          <w:rFonts w:ascii="Microsoft Uighur" w:hAnsi="Microsoft Uighur" w:cs="David" w:hint="cs"/>
          <w:color w:val="000000"/>
          <w:rtl/>
        </w:rPr>
      </w:pPr>
      <w:r>
        <w:rPr>
          <w:rFonts w:ascii="Microsoft Uighur" w:hAnsi="Microsoft Uighur" w:cs="David" w:hint="cs"/>
          <w:color w:val="000000"/>
          <w:rtl/>
        </w:rPr>
        <w:t xml:space="preserve">שלום רב, </w:t>
      </w:r>
    </w:p>
    <w:p w:rsidR="00747E7F" w:rsidRDefault="00747E7F" w:rsidP="00747E7F">
      <w:pPr>
        <w:bidi/>
        <w:rPr>
          <w:rFonts w:ascii="Microsoft Uighur" w:hAnsi="Microsoft Uighur" w:cs="David" w:hint="cs"/>
          <w:color w:val="000000"/>
          <w:rtl/>
        </w:rPr>
      </w:pPr>
    </w:p>
    <w:p w:rsidR="00747E7F" w:rsidRDefault="00747E7F" w:rsidP="00747E7F">
      <w:pPr>
        <w:tabs>
          <w:tab w:val="num" w:pos="566"/>
        </w:tabs>
        <w:bidi/>
        <w:spacing w:before="240" w:after="120" w:line="360" w:lineRule="auto"/>
        <w:ind w:left="566" w:hanging="360"/>
        <w:jc w:val="center"/>
        <w:rPr>
          <w:rFonts w:ascii="Microsoft Uighur" w:hAnsi="Microsoft Uighur" w:cs="David" w:hint="cs"/>
          <w:color w:val="000000"/>
          <w:rtl/>
        </w:rPr>
      </w:pPr>
      <w:r>
        <w:rPr>
          <w:rFonts w:ascii="Microsoft Uighur" w:hAnsi="Microsoft Uighur" w:cs="David" w:hint="cs"/>
          <w:color w:val="000000"/>
          <w:rtl/>
        </w:rPr>
        <w:t xml:space="preserve">הנדון: </w:t>
      </w:r>
      <w:bookmarkStart w:id="0" w:name="_GoBack"/>
      <w:r>
        <w:rPr>
          <w:rFonts w:ascii="Microsoft Uighur" w:hAnsi="Microsoft Uighur" w:cs="David" w:hint="cs"/>
          <w:b/>
          <w:bCs/>
          <w:color w:val="000000"/>
          <w:u w:val="single"/>
          <w:rtl/>
        </w:rPr>
        <w:t>העברת מידע לא חוקית בין הרשויות ואכיפה בררנית נגד תושבי ירושלים המזרחית</w:t>
      </w:r>
    </w:p>
    <w:bookmarkEnd w:id="0"/>
    <w:p w:rsidR="00747E7F" w:rsidRDefault="00747E7F" w:rsidP="00747E7F">
      <w:pPr>
        <w:pStyle w:val="a3"/>
        <w:tabs>
          <w:tab w:val="num" w:pos="566"/>
        </w:tabs>
        <w:bidi/>
        <w:spacing w:before="240" w:after="120" w:line="360" w:lineRule="auto"/>
        <w:ind w:left="566" w:hanging="360"/>
        <w:contextualSpacing/>
        <w:jc w:val="both"/>
        <w:rPr>
          <w:rFonts w:ascii="Microsoft Uighur" w:hAnsi="Microsoft Uighur" w:cs="David" w:hint="cs"/>
          <w:color w:val="000000"/>
          <w:rtl/>
        </w:rPr>
      </w:pPr>
      <w:r>
        <w:rPr>
          <w:rFonts w:ascii="Microsoft Uighur" w:eastAsia="Microsoft Uighur" w:hAnsi="Microsoft Uighur" w:hint="cs"/>
          <w:color w:val="000000"/>
          <w:rtl/>
        </w:rPr>
        <w:t>1.</w:t>
      </w:r>
      <w:r>
        <w:rPr>
          <w:rFonts w:eastAsia="Microsoft Uighur" w:hint="cs"/>
          <w:color w:val="000000"/>
          <w:rtl/>
        </w:rPr>
        <w:t xml:space="preserve">      </w:t>
      </w:r>
      <w:r>
        <w:rPr>
          <w:rFonts w:ascii="Microsoft Uighur" w:hAnsi="Microsoft Uighur" w:cs="David" w:hint="cs"/>
          <w:color w:val="000000"/>
          <w:rtl/>
        </w:rPr>
        <w:t>הרינו לפנות אליך בדחיפות בעקבות המידע שפורסם היום בכתבתו של ניר חסון בעיתון "הארץ" ("</w:t>
      </w:r>
      <w:hyperlink r:id="rId4" w:history="1">
        <w:r>
          <w:rPr>
            <w:rStyle w:val="Hyperlink"/>
            <w:rFonts w:ascii="Microsoft Uighur" w:hAnsi="Microsoft Uighur" w:cs="David" w:hint="cs"/>
            <w:rtl/>
          </w:rPr>
          <w:t>הרשימות השחורות של עיריית ירושלים לענישת תושבים ערבים ממזרח העיר</w:t>
        </w:r>
      </w:hyperlink>
      <w:r>
        <w:rPr>
          <w:rFonts w:ascii="Microsoft Uighur" w:hAnsi="Microsoft Uighur" w:cs="David" w:hint="cs"/>
          <w:color w:val="000000"/>
          <w:rtl/>
        </w:rPr>
        <w:t>"), לפיה המשטרה מעבירה לעיריית ירושלים שמות חשודים שהשתתפו בהפגנות אלימות לצורך הפעלת אמצעי אכיפה עירוניים נגדם ונגד בני משפחותיהם. מהתגובות שנמסרו על ידי המשטרה והעירייה לכתבה עולה, כי הטענות אינן מוכחשות על ידן והן אף לא מוצאות כל פסול בדברים.</w:t>
      </w:r>
    </w:p>
    <w:p w:rsidR="00747E7F" w:rsidRDefault="00747E7F" w:rsidP="00747E7F">
      <w:pPr>
        <w:pStyle w:val="a3"/>
        <w:tabs>
          <w:tab w:val="num" w:pos="566"/>
        </w:tabs>
        <w:bidi/>
        <w:spacing w:before="240" w:after="120" w:line="360" w:lineRule="auto"/>
        <w:ind w:left="566" w:hanging="360"/>
        <w:contextualSpacing/>
        <w:jc w:val="both"/>
        <w:rPr>
          <w:rFonts w:ascii="Microsoft Uighur" w:hAnsi="Microsoft Uighur" w:cs="David" w:hint="cs"/>
          <w:color w:val="000000"/>
          <w:rtl/>
        </w:rPr>
      </w:pPr>
      <w:r>
        <w:rPr>
          <w:rFonts w:ascii="Microsoft Uighur" w:eastAsia="Microsoft Uighur" w:hAnsi="Microsoft Uighur" w:hint="cs"/>
          <w:color w:val="000000"/>
          <w:rtl/>
        </w:rPr>
        <w:t>2.</w:t>
      </w:r>
      <w:r>
        <w:rPr>
          <w:rFonts w:eastAsia="Microsoft Uighur" w:hint="cs"/>
          <w:color w:val="000000"/>
          <w:rtl/>
        </w:rPr>
        <w:t xml:space="preserve">      </w:t>
      </w:r>
      <w:r>
        <w:rPr>
          <w:rFonts w:ascii="Microsoft Uighur" w:hAnsi="Microsoft Uighur" w:cs="David" w:hint="cs"/>
          <w:color w:val="000000"/>
          <w:rtl/>
        </w:rPr>
        <w:t>במידה והדברים נכונים ואכן עיריית ירושלים מפעילה אמצעי אכיפה על בסיס "רשימות שחורות" שמועברות לידיה מהמשטרה, הרי ש</w:t>
      </w:r>
      <w:r>
        <w:rPr>
          <w:rFonts w:ascii="Microsoft Uighur" w:hAnsi="Microsoft Uighur" w:cs="David" w:hint="cs"/>
          <w:b/>
          <w:bCs/>
          <w:color w:val="000000"/>
          <w:rtl/>
        </w:rPr>
        <w:t>מדובר בהתנהלות בלתי חוקית מובהקת וברמיסה ברגל גסה של עקרונות היסוד של שלטון החוק על ידי העירייה והמשטרה כאחד.</w:t>
      </w:r>
      <w:r>
        <w:rPr>
          <w:rFonts w:ascii="Microsoft Uighur" w:hAnsi="Microsoft Uighur" w:cs="David" w:hint="cs"/>
          <w:color w:val="000000"/>
          <w:rtl/>
        </w:rPr>
        <w:t xml:space="preserve"> </w:t>
      </w:r>
      <w:r>
        <w:rPr>
          <w:rFonts w:ascii="Microsoft Uighur" w:hAnsi="Microsoft Uighur" w:cs="David" w:hint="cs"/>
          <w:b/>
          <w:bCs/>
          <w:color w:val="000000"/>
          <w:rtl/>
        </w:rPr>
        <w:t>לאור זאת, נדרשת</w:t>
      </w:r>
      <w:r>
        <w:rPr>
          <w:rFonts w:ascii="Microsoft Uighur" w:hAnsi="Microsoft Uighur" w:cs="David" w:hint="cs"/>
          <w:color w:val="000000"/>
          <w:rtl/>
        </w:rPr>
        <w:t xml:space="preserve"> </w:t>
      </w:r>
      <w:r>
        <w:rPr>
          <w:rFonts w:ascii="Microsoft Uighur" w:hAnsi="Microsoft Uighur" w:cs="David" w:hint="cs"/>
          <w:b/>
          <w:bCs/>
          <w:color w:val="000000"/>
          <w:rtl/>
        </w:rPr>
        <w:t>מעורבותך הדחופה לצורך בירור הטענות וטיפול יסודי בתופעה</w:t>
      </w:r>
      <w:r>
        <w:rPr>
          <w:rFonts w:ascii="Microsoft Uighur" w:hAnsi="Microsoft Uighur" w:cs="David" w:hint="cs"/>
          <w:color w:val="000000"/>
          <w:rtl/>
        </w:rPr>
        <w:t xml:space="preserve">. </w:t>
      </w:r>
    </w:p>
    <w:p w:rsidR="00747E7F" w:rsidRDefault="00747E7F" w:rsidP="00747E7F">
      <w:pPr>
        <w:pStyle w:val="a3"/>
        <w:tabs>
          <w:tab w:val="num" w:pos="566"/>
        </w:tabs>
        <w:bidi/>
        <w:spacing w:before="240" w:after="120" w:line="360" w:lineRule="auto"/>
        <w:ind w:left="566" w:hanging="360"/>
        <w:contextualSpacing/>
        <w:jc w:val="both"/>
        <w:rPr>
          <w:rFonts w:ascii="Microsoft Uighur" w:hAnsi="Microsoft Uighur" w:cs="David"/>
          <w:color w:val="000000"/>
        </w:rPr>
      </w:pPr>
      <w:r>
        <w:rPr>
          <w:rFonts w:ascii="Microsoft Uighur" w:eastAsia="Microsoft Uighur" w:hAnsi="Microsoft Uighur" w:hint="cs"/>
          <w:color w:val="000000"/>
          <w:rtl/>
        </w:rPr>
        <w:t>3.</w:t>
      </w:r>
      <w:r>
        <w:rPr>
          <w:rFonts w:eastAsia="Microsoft Uighur" w:hint="cs"/>
          <w:color w:val="000000"/>
          <w:rtl/>
        </w:rPr>
        <w:t xml:space="preserve">      </w:t>
      </w:r>
      <w:r>
        <w:rPr>
          <w:rFonts w:ascii="Microsoft Uighur" w:hAnsi="Microsoft Uighur" w:cs="David" w:hint="cs"/>
          <w:color w:val="000000"/>
          <w:rtl/>
        </w:rPr>
        <w:t>שימוש באמצעי אכיפה עירוניים באופן המתואר בכתבה מהווה אכיפה בררנית מובהקת ומכוונת המונעת משיקולים זרים ופסולים. מדובר בניצול לרעה של סמכויות האכיפה של העירייה, הנוגד את עיקרון השוויון בפני החוק במובנו הבסיסי ביותר. על פי הכתבה, האכיפה העירונית הבררנית מופעלת לא רק כלפי החשוד אלא גם כלפי בני משפחתו. מדובר ב</w:t>
      </w:r>
      <w:r>
        <w:rPr>
          <w:rFonts w:ascii="Microsoft Uighur" w:hAnsi="Microsoft Uighur" w:cs="David" w:hint="cs"/>
          <w:b/>
          <w:bCs/>
          <w:color w:val="000000"/>
          <w:rtl/>
        </w:rPr>
        <w:t>ענישה קולקטיבית כלפי משפחות שלמות</w:t>
      </w:r>
      <w:r>
        <w:rPr>
          <w:rFonts w:ascii="Microsoft Uighur" w:hAnsi="Microsoft Uighur" w:cs="David" w:hint="cs"/>
          <w:color w:val="000000"/>
          <w:rtl/>
        </w:rPr>
        <w:t xml:space="preserve"> הסובלות מאכיפה מפלה כלפיהן מן הטעם היחיד שבן משפחה חשוד בפלילים. </w:t>
      </w:r>
    </w:p>
    <w:p w:rsidR="00747E7F" w:rsidRDefault="00747E7F" w:rsidP="00747E7F">
      <w:pPr>
        <w:pStyle w:val="a3"/>
        <w:tabs>
          <w:tab w:val="num" w:pos="566"/>
        </w:tabs>
        <w:bidi/>
        <w:spacing w:before="240" w:after="120" w:line="360" w:lineRule="auto"/>
        <w:ind w:left="566" w:hanging="360"/>
        <w:contextualSpacing/>
        <w:jc w:val="both"/>
        <w:rPr>
          <w:rFonts w:ascii="Microsoft Uighur" w:hAnsi="Microsoft Uighur" w:cs="David"/>
          <w:color w:val="000000"/>
        </w:rPr>
      </w:pPr>
      <w:r>
        <w:rPr>
          <w:rFonts w:ascii="Microsoft Uighur" w:eastAsia="Microsoft Uighur" w:hAnsi="Microsoft Uighur" w:hint="cs"/>
          <w:color w:val="000000"/>
          <w:rtl/>
        </w:rPr>
        <w:t>4.</w:t>
      </w:r>
      <w:r>
        <w:rPr>
          <w:rFonts w:eastAsia="Microsoft Uighur" w:hint="cs"/>
          <w:color w:val="000000"/>
          <w:rtl/>
        </w:rPr>
        <w:t xml:space="preserve">      </w:t>
      </w:r>
      <w:r>
        <w:rPr>
          <w:rFonts w:ascii="Microsoft Uighur" w:hAnsi="Microsoft Uighur" w:cs="David" w:hint="cs"/>
          <w:color w:val="000000"/>
          <w:rtl/>
        </w:rPr>
        <w:t xml:space="preserve">נקיטת צעדי אכיפה עירוניים נגד אנשים, רק משום שהם נחשדו בביצוע עבירות שאינן קשורות לכך, מהווה התעמרות בלתי חוקית, הפוגעת בתקינות ההליך הפלילי, ומרוקנת את חזקת החפות ואת הזכות הבסיסית להליך הוגן. התנהלות זו אף מעוררת חשש, כי האפשרות לנקיטת צעדי אכיפה מנהליים נגד חשודים תשמש להפעלת לחץ על החשודים להודות במעשים המיוחסים להם.  </w:t>
      </w:r>
    </w:p>
    <w:p w:rsidR="00747E7F" w:rsidRDefault="00747E7F" w:rsidP="00747E7F">
      <w:pPr>
        <w:pStyle w:val="a3"/>
        <w:tabs>
          <w:tab w:val="num" w:pos="566"/>
        </w:tabs>
        <w:bidi/>
        <w:spacing w:before="240" w:after="120" w:line="360" w:lineRule="auto"/>
        <w:ind w:left="566" w:hanging="360"/>
        <w:contextualSpacing/>
        <w:jc w:val="both"/>
        <w:rPr>
          <w:rFonts w:ascii="Microsoft Uighur" w:hAnsi="Microsoft Uighur" w:cs="David"/>
          <w:color w:val="000000"/>
        </w:rPr>
      </w:pPr>
      <w:r>
        <w:rPr>
          <w:rFonts w:ascii="Microsoft Uighur" w:eastAsia="Microsoft Uighur" w:hAnsi="Microsoft Uighur" w:hint="cs"/>
          <w:color w:val="000000"/>
          <w:rtl/>
        </w:rPr>
        <w:t>5.</w:t>
      </w:r>
      <w:r>
        <w:rPr>
          <w:rFonts w:eastAsia="Microsoft Uighur" w:hint="cs"/>
          <w:color w:val="000000"/>
          <w:rtl/>
        </w:rPr>
        <w:t xml:space="preserve">      </w:t>
      </w:r>
      <w:r>
        <w:rPr>
          <w:rFonts w:ascii="Microsoft Uighur" w:hAnsi="Microsoft Uighur" w:cs="David" w:hint="cs"/>
          <w:color w:val="000000"/>
          <w:rtl/>
        </w:rPr>
        <w:t xml:space="preserve">מעבר לפגיעה הקשה בזכויותיהם של מאות ואולי אלפי תושבים ירושלים המזרחית אשר נכללו באותן "רשימות שחורות" שעל בסיסן הופעלה נגדם אכיפה עירונית בררנית, הרי שהפעלת סנקציות פליליות או מנהליות בדרך מפלה ובררנית פוגעת גם באמון הציבור ברשויות האכיפה ויוצרת נזק אדיר לאינטרס הציבורי בהבטחת שלטון החוק. </w:t>
      </w:r>
    </w:p>
    <w:p w:rsidR="00747E7F" w:rsidRDefault="00747E7F" w:rsidP="00747E7F">
      <w:pPr>
        <w:pStyle w:val="a3"/>
        <w:tabs>
          <w:tab w:val="num" w:pos="566"/>
        </w:tabs>
        <w:bidi/>
        <w:spacing w:before="240" w:after="120" w:line="360" w:lineRule="auto"/>
        <w:ind w:left="566" w:hanging="360"/>
        <w:contextualSpacing/>
        <w:jc w:val="both"/>
        <w:rPr>
          <w:rFonts w:ascii="Microsoft Uighur" w:hAnsi="Microsoft Uighur" w:cs="David"/>
          <w:color w:val="000000"/>
        </w:rPr>
      </w:pPr>
      <w:r>
        <w:rPr>
          <w:rFonts w:ascii="Microsoft Uighur" w:eastAsia="Microsoft Uighur" w:hAnsi="Microsoft Uighur" w:hint="cs"/>
          <w:color w:val="000000"/>
          <w:rtl/>
        </w:rPr>
        <w:t>6.</w:t>
      </w:r>
      <w:r>
        <w:rPr>
          <w:rFonts w:eastAsia="Microsoft Uighur" w:hint="cs"/>
          <w:color w:val="000000"/>
          <w:rtl/>
        </w:rPr>
        <w:t xml:space="preserve">      </w:t>
      </w:r>
      <w:r>
        <w:rPr>
          <w:rFonts w:ascii="Microsoft Uighur" w:hAnsi="Microsoft Uighur" w:cs="David" w:hint="cs"/>
          <w:color w:val="000000"/>
          <w:rtl/>
        </w:rPr>
        <w:t xml:space="preserve">בנוסף לחומרה היתרה שבנקיטת צעדי אכיפה מפלים נגד אנשים, רק משום שהם נחשדים בהשתתפות בהפרות סדר, הרי שעצם העברת המידע לעירייה על ידי המשטרה מהווה פגיעה בלתי חוקית בזכותם החוקתית לפרטיות (לעניין זה ראה: בג"צ 8070/98 </w:t>
      </w:r>
      <w:r>
        <w:rPr>
          <w:rFonts w:ascii="Microsoft Uighur" w:hAnsi="Microsoft Uighur" w:cs="David" w:hint="cs"/>
          <w:color w:val="000000"/>
          <w:u w:val="single"/>
          <w:rtl/>
        </w:rPr>
        <w:t>האגודה לזכויות האזרח נ' משרד הפנים</w:t>
      </w:r>
      <w:r>
        <w:rPr>
          <w:rFonts w:ascii="Microsoft Uighur" w:hAnsi="Microsoft Uighur" w:cs="David" w:hint="cs"/>
          <w:color w:val="000000"/>
          <w:rtl/>
        </w:rPr>
        <w:t xml:space="preserve"> (26.5.02)) . למשטרה אין כל סמכות להעביר רשימות חשודים לרשויות אחרות, על מנת שיינקטו צעדי אכיפה בלתי קשורים נגדם. הדבר מפר גם את </w:t>
      </w:r>
      <w:r>
        <w:rPr>
          <w:rFonts w:ascii="Microsoft Uighur" w:hAnsi="Microsoft Uighur" w:cs="David" w:hint="cs"/>
          <w:color w:val="000000"/>
          <w:rtl/>
        </w:rPr>
        <w:lastRenderedPageBreak/>
        <w:t xml:space="preserve">חובותיה החוקיות של המשטרה להימנע מהעברת מאגרי המידע שאותם היא מנהלת לגורמים בלתי מורשים וזאת בהתאם לחוק המרשם הפלילי הקובע את חיסויו של המרשם ואוסר על העברת מידע ממנו שלא על פי החוק. החוק אוסר על העברת מידע מהמרשם הפלילי לידי הרשות המקומית אלא לצורך מינוי בעלי תפקידים מסוימים (סעיף ו(1) לתוספת </w:t>
      </w:r>
      <w:proofErr w:type="spellStart"/>
      <w:r>
        <w:rPr>
          <w:rFonts w:ascii="Microsoft Uighur" w:hAnsi="Microsoft Uighur" w:cs="David" w:hint="cs"/>
          <w:color w:val="000000"/>
          <w:rtl/>
        </w:rPr>
        <w:t>השניה</w:t>
      </w:r>
      <w:proofErr w:type="spellEnd"/>
      <w:r>
        <w:rPr>
          <w:rFonts w:ascii="Microsoft Uighur" w:hAnsi="Microsoft Uighur" w:cs="David" w:hint="cs"/>
          <w:color w:val="000000"/>
          <w:rtl/>
        </w:rPr>
        <w:t xml:space="preserve"> לחוק). </w:t>
      </w:r>
    </w:p>
    <w:p w:rsidR="00747E7F" w:rsidRDefault="00747E7F" w:rsidP="00747E7F">
      <w:pPr>
        <w:pStyle w:val="a3"/>
        <w:tabs>
          <w:tab w:val="num" w:pos="566"/>
        </w:tabs>
        <w:bidi/>
        <w:spacing w:before="240" w:after="120" w:line="360" w:lineRule="auto"/>
        <w:ind w:left="566" w:hanging="360"/>
        <w:contextualSpacing/>
        <w:jc w:val="both"/>
        <w:rPr>
          <w:rFonts w:ascii="Microsoft Uighur" w:hAnsi="Microsoft Uighur" w:cs="David"/>
          <w:color w:val="000000"/>
        </w:rPr>
      </w:pPr>
      <w:r>
        <w:rPr>
          <w:rFonts w:ascii="Microsoft Uighur" w:eastAsia="Microsoft Uighur" w:hAnsi="Microsoft Uighur" w:hint="cs"/>
          <w:color w:val="000000"/>
          <w:rtl/>
        </w:rPr>
        <w:t>7.</w:t>
      </w:r>
      <w:r>
        <w:rPr>
          <w:rFonts w:eastAsia="Microsoft Uighur" w:hint="cs"/>
          <w:color w:val="000000"/>
          <w:rtl/>
        </w:rPr>
        <w:t xml:space="preserve">      </w:t>
      </w:r>
      <w:r>
        <w:rPr>
          <w:rFonts w:ascii="Microsoft Uighur" w:hAnsi="Microsoft Uighur" w:cs="David" w:hint="cs"/>
          <w:color w:val="000000"/>
          <w:rtl/>
        </w:rPr>
        <w:t>במידה שיתברר כי העובדות המתוארות בכתבה נכונות, הרי שמדובר בהתנהלות שערורייתית של המשטרה ושל העירייה המשקפת רדיפה והתעמרות מובהקים בחשודים ובבני משפחותיהם. לאור זאת,</w:t>
      </w:r>
      <w:r>
        <w:rPr>
          <w:rFonts w:ascii="Microsoft Uighur" w:hAnsi="Microsoft Uighur" w:cs="David" w:hint="cs"/>
          <w:b/>
          <w:bCs/>
          <w:color w:val="000000"/>
          <w:rtl/>
        </w:rPr>
        <w:t xml:space="preserve"> נדרשת מעורבותך הדחופה בבירור הטענות המופיעות לעיל. במידה שיתברר כי אלה פני הדברים, יש להורות למשטרה ולעירייה לחדול לאלתר מהתנהלותן, לפתוח בחקירה ולנקוט בהליכים פליליים ו/או משמעתיים נגד המעורבים. כמו כן, יש לפסול את כל אותן פעולות האכיפה שבוצעו על בסיס ה"רשימות השחורות".</w:t>
      </w:r>
      <w:r>
        <w:rPr>
          <w:rFonts w:ascii="Microsoft Uighur" w:hAnsi="Microsoft Uighur" w:cs="David" w:hint="cs"/>
          <w:color w:val="000000"/>
          <w:rtl/>
        </w:rPr>
        <w:t xml:space="preserve"> </w:t>
      </w:r>
    </w:p>
    <w:p w:rsidR="00747E7F" w:rsidRDefault="00747E7F" w:rsidP="00747E7F">
      <w:pPr>
        <w:pStyle w:val="a3"/>
        <w:tabs>
          <w:tab w:val="num" w:pos="566"/>
        </w:tabs>
        <w:bidi/>
        <w:spacing w:before="240" w:after="120" w:line="360" w:lineRule="auto"/>
        <w:ind w:left="566" w:hanging="360"/>
        <w:contextualSpacing/>
        <w:jc w:val="both"/>
        <w:rPr>
          <w:rFonts w:ascii="Microsoft Uighur" w:hAnsi="Microsoft Uighur" w:cs="David"/>
          <w:color w:val="000000"/>
        </w:rPr>
      </w:pPr>
      <w:r>
        <w:rPr>
          <w:rFonts w:ascii="Microsoft Uighur" w:eastAsia="Microsoft Uighur" w:hAnsi="Microsoft Uighur" w:hint="cs"/>
          <w:color w:val="000000"/>
          <w:rtl/>
        </w:rPr>
        <w:t>8.</w:t>
      </w:r>
      <w:r>
        <w:rPr>
          <w:rFonts w:eastAsia="Microsoft Uighur" w:hint="cs"/>
          <w:color w:val="000000"/>
          <w:rtl/>
        </w:rPr>
        <w:t xml:space="preserve">      </w:t>
      </w:r>
      <w:r>
        <w:rPr>
          <w:rFonts w:ascii="Microsoft Uighur" w:hAnsi="Microsoft Uighur" w:cs="David" w:hint="cs"/>
          <w:color w:val="000000"/>
          <w:rtl/>
        </w:rPr>
        <w:t xml:space="preserve">לתשובתך הדחופה אודה. </w:t>
      </w:r>
    </w:p>
    <w:p w:rsidR="00747E7F" w:rsidRDefault="00747E7F" w:rsidP="00747E7F">
      <w:pPr>
        <w:tabs>
          <w:tab w:val="num" w:pos="566"/>
        </w:tabs>
        <w:bidi/>
        <w:spacing w:before="240" w:after="120" w:line="360" w:lineRule="auto"/>
        <w:ind w:left="566" w:hanging="360"/>
        <w:jc w:val="both"/>
        <w:rPr>
          <w:rFonts w:ascii="Microsoft Uighur" w:hAnsi="Microsoft Uighur" w:cs="David"/>
          <w:color w:val="000000"/>
        </w:rPr>
      </w:pPr>
    </w:p>
    <w:p w:rsidR="00747E7F" w:rsidRDefault="00747E7F" w:rsidP="00747E7F">
      <w:pPr>
        <w:tabs>
          <w:tab w:val="num" w:pos="566"/>
        </w:tabs>
        <w:bidi/>
        <w:spacing w:before="240" w:after="120" w:line="360" w:lineRule="auto"/>
        <w:ind w:left="6480" w:hanging="360"/>
        <w:jc w:val="both"/>
        <w:rPr>
          <w:rFonts w:ascii="Microsoft Uighur" w:hAnsi="Microsoft Uighur" w:cs="David"/>
          <w:color w:val="000000"/>
        </w:rPr>
      </w:pPr>
      <w:r>
        <w:rPr>
          <w:rFonts w:ascii="Microsoft Uighur" w:hAnsi="Microsoft Uighur" w:cs="David" w:hint="cs"/>
          <w:color w:val="000000"/>
          <w:rtl/>
        </w:rPr>
        <w:t xml:space="preserve">בכבוד רב, </w:t>
      </w:r>
    </w:p>
    <w:p w:rsidR="00747E7F" w:rsidRDefault="00747E7F" w:rsidP="00747E7F">
      <w:pPr>
        <w:tabs>
          <w:tab w:val="num" w:pos="566"/>
        </w:tabs>
        <w:bidi/>
        <w:spacing w:before="240" w:after="120" w:line="360" w:lineRule="auto"/>
        <w:ind w:left="6480" w:hanging="360"/>
        <w:jc w:val="both"/>
        <w:rPr>
          <w:rFonts w:ascii="Microsoft Uighur" w:hAnsi="Microsoft Uighur" w:cs="David" w:hint="cs"/>
          <w:color w:val="000000"/>
          <w:rtl/>
        </w:rPr>
      </w:pPr>
      <w:r>
        <w:rPr>
          <w:rFonts w:ascii="Microsoft Uighur" w:hAnsi="Microsoft Uighur" w:cs="David" w:hint="cs"/>
          <w:color w:val="000000"/>
          <w:rtl/>
        </w:rPr>
        <w:t xml:space="preserve">אן </w:t>
      </w:r>
      <w:proofErr w:type="spellStart"/>
      <w:r>
        <w:rPr>
          <w:rFonts w:ascii="Microsoft Uighur" w:hAnsi="Microsoft Uighur" w:cs="David" w:hint="cs"/>
          <w:color w:val="000000"/>
          <w:rtl/>
        </w:rPr>
        <w:t>סוצ'יו</w:t>
      </w:r>
      <w:proofErr w:type="spellEnd"/>
      <w:r>
        <w:rPr>
          <w:rFonts w:ascii="Microsoft Uighur" w:hAnsi="Microsoft Uighur" w:cs="David" w:hint="cs"/>
          <w:color w:val="000000"/>
          <w:rtl/>
        </w:rPr>
        <w:t>, עו"ד</w:t>
      </w:r>
    </w:p>
    <w:p w:rsidR="00747E7F" w:rsidRDefault="00747E7F" w:rsidP="00747E7F">
      <w:pPr>
        <w:tabs>
          <w:tab w:val="num" w:pos="566"/>
        </w:tabs>
        <w:bidi/>
        <w:spacing w:before="240" w:after="120"/>
        <w:ind w:left="6480" w:hanging="6541"/>
        <w:jc w:val="both"/>
        <w:rPr>
          <w:rFonts w:ascii="Microsoft Uighur" w:hAnsi="Microsoft Uighur" w:cs="David" w:hint="cs"/>
          <w:color w:val="000000"/>
          <w:rtl/>
        </w:rPr>
      </w:pPr>
    </w:p>
    <w:p w:rsidR="00504304" w:rsidRPr="00747E7F" w:rsidRDefault="00504304" w:rsidP="00747E7F"/>
    <w:sectPr w:rsidR="00504304" w:rsidRPr="00747E7F" w:rsidSect="005F5D1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David">
    <w:panose1 w:val="020E0502060401010101"/>
    <w:charset w:val="B1"/>
    <w:family w:val="swiss"/>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E7F"/>
    <w:rsid w:val="00504304"/>
    <w:rsid w:val="005F5D11"/>
    <w:rsid w:val="00747E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D47E08-FC24-4A27-A642-2AE03757B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E7F"/>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747E7F"/>
    <w:rPr>
      <w:color w:val="0000FF"/>
      <w:u w:val="single"/>
    </w:rPr>
  </w:style>
  <w:style w:type="paragraph" w:styleId="a3">
    <w:name w:val="List Paragraph"/>
    <w:basedOn w:val="a"/>
    <w:uiPriority w:val="34"/>
    <w:qFormat/>
    <w:rsid w:val="00747E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387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aaretz.co.il/news/politics/.premium-1.2585214"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2649</Characters>
  <Application>Microsoft Office Word</Application>
  <DocSecurity>0</DocSecurity>
  <Lines>22</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2015-03-11T07:21:00Z</dcterms:created>
  <dcterms:modified xsi:type="dcterms:W3CDTF">2015-03-11T07:21:00Z</dcterms:modified>
</cp:coreProperties>
</file>