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81D" w:rsidRDefault="00F6681D" w:rsidP="00A57686">
      <w:pPr>
        <w:spacing w:line="360" w:lineRule="auto"/>
        <w:rPr>
          <w:rFonts w:hint="cs"/>
          <w:rtl/>
        </w:rPr>
      </w:pPr>
    </w:p>
    <w:p w:rsidR="00F6681D" w:rsidRPr="00F6681D" w:rsidRDefault="001D4A8B" w:rsidP="001D4A8B">
      <w:pPr>
        <w:spacing w:line="360" w:lineRule="auto"/>
        <w:jc w:val="right"/>
        <w:rPr>
          <w:sz w:val="24"/>
          <w:szCs w:val="24"/>
          <w:rtl/>
        </w:rPr>
      </w:pPr>
      <w:r>
        <w:rPr>
          <w:rFonts w:hint="cs"/>
          <w:sz w:val="24"/>
          <w:szCs w:val="24"/>
          <w:rtl/>
        </w:rPr>
        <w:t>‏</w:t>
      </w:r>
      <w:r>
        <w:rPr>
          <w:sz w:val="24"/>
          <w:szCs w:val="24"/>
          <w:rtl/>
        </w:rPr>
        <w:t>02/08/2016</w:t>
      </w:r>
    </w:p>
    <w:p w:rsidR="005C7099" w:rsidRPr="001C604F" w:rsidRDefault="002358A2" w:rsidP="00A57686">
      <w:pPr>
        <w:spacing w:line="360" w:lineRule="auto"/>
        <w:rPr>
          <w:b/>
          <w:bCs/>
          <w:sz w:val="24"/>
          <w:szCs w:val="24"/>
          <w:rtl/>
        </w:rPr>
      </w:pPr>
      <w:r w:rsidRPr="001C604F">
        <w:rPr>
          <w:rFonts w:hint="cs"/>
          <w:b/>
          <w:bCs/>
          <w:sz w:val="24"/>
          <w:szCs w:val="24"/>
          <w:rtl/>
        </w:rPr>
        <w:t>לכבוד</w:t>
      </w:r>
    </w:p>
    <w:p w:rsidR="00F6681D" w:rsidRPr="001C604F" w:rsidRDefault="00F6681D" w:rsidP="001C604F">
      <w:pPr>
        <w:spacing w:line="360" w:lineRule="auto"/>
        <w:rPr>
          <w:b/>
          <w:bCs/>
          <w:sz w:val="24"/>
          <w:szCs w:val="24"/>
          <w:rtl/>
        </w:rPr>
      </w:pPr>
      <w:r w:rsidRPr="001C604F">
        <w:rPr>
          <w:rFonts w:hint="cs"/>
          <w:b/>
          <w:bCs/>
          <w:sz w:val="24"/>
          <w:szCs w:val="24"/>
          <w:rtl/>
        </w:rPr>
        <w:t>הגב</w:t>
      </w:r>
      <w:r w:rsidR="001C604F" w:rsidRPr="001C604F">
        <w:rPr>
          <w:rFonts w:hint="cs"/>
          <w:b/>
          <w:bCs/>
          <w:sz w:val="24"/>
          <w:szCs w:val="24"/>
          <w:rtl/>
        </w:rPr>
        <w:t>'</w:t>
      </w:r>
      <w:r w:rsidRPr="001C604F">
        <w:rPr>
          <w:rFonts w:hint="cs"/>
          <w:b/>
          <w:bCs/>
          <w:sz w:val="24"/>
          <w:szCs w:val="24"/>
          <w:rtl/>
        </w:rPr>
        <w:t xml:space="preserve"> </w:t>
      </w:r>
      <w:proofErr w:type="spellStart"/>
      <w:r w:rsidRPr="001C604F">
        <w:rPr>
          <w:rFonts w:hint="cs"/>
          <w:b/>
          <w:bCs/>
          <w:sz w:val="24"/>
          <w:szCs w:val="24"/>
          <w:rtl/>
        </w:rPr>
        <w:t>אוה</w:t>
      </w:r>
      <w:proofErr w:type="spellEnd"/>
      <w:r w:rsidRPr="001C604F">
        <w:rPr>
          <w:rFonts w:hint="cs"/>
          <w:b/>
          <w:bCs/>
          <w:sz w:val="24"/>
          <w:szCs w:val="24"/>
          <w:rtl/>
        </w:rPr>
        <w:t xml:space="preserve"> </w:t>
      </w:r>
      <w:proofErr w:type="spellStart"/>
      <w:r w:rsidRPr="001C604F">
        <w:rPr>
          <w:rFonts w:hint="cs"/>
          <w:b/>
          <w:bCs/>
          <w:sz w:val="24"/>
          <w:szCs w:val="24"/>
          <w:rtl/>
        </w:rPr>
        <w:t>מדז'יבוז</w:t>
      </w:r>
      <w:proofErr w:type="spellEnd"/>
      <w:r w:rsidRPr="001C604F">
        <w:rPr>
          <w:rFonts w:hint="cs"/>
          <w:b/>
          <w:bCs/>
          <w:sz w:val="24"/>
          <w:szCs w:val="24"/>
          <w:rtl/>
        </w:rPr>
        <w:t xml:space="preserve">' </w:t>
      </w:r>
    </w:p>
    <w:p w:rsidR="00F6681D" w:rsidRPr="001C604F" w:rsidRDefault="00F6681D" w:rsidP="00A57686">
      <w:pPr>
        <w:spacing w:line="360" w:lineRule="auto"/>
        <w:rPr>
          <w:b/>
          <w:bCs/>
          <w:sz w:val="24"/>
          <w:szCs w:val="24"/>
          <w:rtl/>
        </w:rPr>
      </w:pPr>
      <w:r w:rsidRPr="001C604F">
        <w:rPr>
          <w:rFonts w:hint="cs"/>
          <w:b/>
          <w:bCs/>
          <w:sz w:val="24"/>
          <w:szCs w:val="24"/>
          <w:rtl/>
        </w:rPr>
        <w:t>יו"ר מועצת הרשות השנייה לרדיו וטלוויזיה</w:t>
      </w:r>
    </w:p>
    <w:p w:rsidR="00F6681D" w:rsidRPr="001C604F" w:rsidRDefault="00F6681D" w:rsidP="00A57686">
      <w:pPr>
        <w:spacing w:line="360" w:lineRule="auto"/>
        <w:rPr>
          <w:b/>
          <w:bCs/>
          <w:sz w:val="24"/>
          <w:szCs w:val="24"/>
          <w:u w:val="single"/>
          <w:rtl/>
        </w:rPr>
      </w:pPr>
      <w:r w:rsidRPr="001C604F">
        <w:rPr>
          <w:rFonts w:hint="cs"/>
          <w:b/>
          <w:bCs/>
          <w:sz w:val="24"/>
          <w:szCs w:val="24"/>
          <w:u w:val="single"/>
          <w:rtl/>
        </w:rPr>
        <w:t xml:space="preserve">ירושלים </w:t>
      </w:r>
    </w:p>
    <w:p w:rsidR="00EB0B84" w:rsidRDefault="00F6681D" w:rsidP="00915C42">
      <w:pPr>
        <w:spacing w:line="360" w:lineRule="auto"/>
        <w:jc w:val="right"/>
        <w:rPr>
          <w:sz w:val="24"/>
          <w:szCs w:val="24"/>
          <w:rtl/>
        </w:rPr>
      </w:pPr>
      <w:r>
        <w:rPr>
          <w:rFonts w:hint="cs"/>
          <w:sz w:val="24"/>
          <w:szCs w:val="24"/>
          <w:u w:val="single"/>
          <w:rtl/>
        </w:rPr>
        <w:t xml:space="preserve">באמצעות </w:t>
      </w:r>
      <w:r w:rsidR="00915C42">
        <w:rPr>
          <w:rFonts w:hint="cs"/>
          <w:sz w:val="24"/>
          <w:szCs w:val="24"/>
          <w:u w:val="single"/>
          <w:rtl/>
        </w:rPr>
        <w:t>דוא"ל</w:t>
      </w:r>
      <w:bookmarkStart w:id="0" w:name="_GoBack"/>
      <w:bookmarkEnd w:id="0"/>
      <w:r w:rsidR="00EF7EF8">
        <w:rPr>
          <w:rFonts w:hint="cs"/>
          <w:sz w:val="24"/>
          <w:szCs w:val="24"/>
          <w:u w:val="single"/>
          <w:rtl/>
        </w:rPr>
        <w:t xml:space="preserve"> </w:t>
      </w:r>
    </w:p>
    <w:p w:rsidR="00F6681D" w:rsidRPr="00F6681D" w:rsidRDefault="002358A2" w:rsidP="00EB0B84">
      <w:pPr>
        <w:spacing w:line="360" w:lineRule="auto"/>
        <w:rPr>
          <w:sz w:val="24"/>
          <w:szCs w:val="24"/>
          <w:rtl/>
        </w:rPr>
      </w:pPr>
      <w:proofErr w:type="spellStart"/>
      <w:r>
        <w:rPr>
          <w:rFonts w:hint="cs"/>
          <w:sz w:val="24"/>
          <w:szCs w:val="24"/>
          <w:rtl/>
        </w:rPr>
        <w:t>ג,נ</w:t>
      </w:r>
      <w:proofErr w:type="spellEnd"/>
      <w:r>
        <w:rPr>
          <w:rFonts w:hint="cs"/>
          <w:sz w:val="24"/>
          <w:szCs w:val="24"/>
          <w:rtl/>
        </w:rPr>
        <w:t xml:space="preserve">,. </w:t>
      </w:r>
    </w:p>
    <w:p w:rsidR="00F6681D" w:rsidRDefault="00F6681D" w:rsidP="00A57686">
      <w:pPr>
        <w:spacing w:line="360" w:lineRule="auto"/>
        <w:jc w:val="center"/>
        <w:rPr>
          <w:sz w:val="24"/>
          <w:szCs w:val="24"/>
          <w:rtl/>
        </w:rPr>
      </w:pPr>
      <w:r w:rsidRPr="00F6681D">
        <w:rPr>
          <w:rFonts w:hint="cs"/>
          <w:sz w:val="24"/>
          <w:szCs w:val="24"/>
          <w:rtl/>
        </w:rPr>
        <w:t xml:space="preserve">הנדון: </w:t>
      </w:r>
      <w:r w:rsidRPr="001D4A8B">
        <w:rPr>
          <w:rFonts w:hint="cs"/>
          <w:b/>
          <w:bCs/>
          <w:sz w:val="24"/>
          <w:szCs w:val="24"/>
          <w:u w:val="single"/>
          <w:rtl/>
        </w:rPr>
        <w:t>ש</w:t>
      </w:r>
      <w:r w:rsidR="001D4A8B">
        <w:rPr>
          <w:rFonts w:hint="cs"/>
          <w:b/>
          <w:bCs/>
          <w:sz w:val="24"/>
          <w:szCs w:val="24"/>
          <w:u w:val="single"/>
          <w:rtl/>
        </w:rPr>
        <w:t>י</w:t>
      </w:r>
      <w:r w:rsidRPr="001D4A8B">
        <w:rPr>
          <w:rFonts w:hint="cs"/>
          <w:b/>
          <w:bCs/>
          <w:sz w:val="24"/>
          <w:szCs w:val="24"/>
          <w:u w:val="single"/>
          <w:rtl/>
        </w:rPr>
        <w:t>דורי פרסומת לאתר</w:t>
      </w:r>
      <w:r w:rsidR="001D4A8B">
        <w:rPr>
          <w:rFonts w:hint="cs"/>
          <w:b/>
          <w:bCs/>
          <w:sz w:val="24"/>
          <w:szCs w:val="24"/>
          <w:u w:val="single"/>
          <w:rtl/>
        </w:rPr>
        <w:t xml:space="preserve"> האינטרנט</w:t>
      </w:r>
      <w:r w:rsidRPr="001D4A8B">
        <w:rPr>
          <w:rFonts w:hint="cs"/>
          <w:b/>
          <w:bCs/>
          <w:sz w:val="24"/>
          <w:szCs w:val="24"/>
          <w:u w:val="single"/>
          <w:rtl/>
        </w:rPr>
        <w:t xml:space="preserve"> "המקצוענים"</w:t>
      </w:r>
    </w:p>
    <w:p w:rsidR="00F6681D" w:rsidRDefault="00F6681D" w:rsidP="00A57686">
      <w:pPr>
        <w:pStyle w:val="a3"/>
        <w:numPr>
          <w:ilvl w:val="0"/>
          <w:numId w:val="1"/>
        </w:numPr>
        <w:spacing w:line="360" w:lineRule="auto"/>
        <w:rPr>
          <w:sz w:val="24"/>
          <w:szCs w:val="24"/>
        </w:rPr>
      </w:pPr>
      <w:r>
        <w:rPr>
          <w:rFonts w:hint="cs"/>
          <w:sz w:val="24"/>
          <w:szCs w:val="24"/>
          <w:rtl/>
        </w:rPr>
        <w:t>בימים האחרונים משודרת בערוצי הטלוויזיה המסחריים ערוץ 2 וערוץ 10, המצויים תחת פיקוחה של מועצת הרשות השנייה, תשדיר פרסומת, מטעמו של אתר אינטרנט בשם "</w:t>
      </w:r>
      <w:r w:rsidRPr="002358A2">
        <w:rPr>
          <w:rFonts w:hint="cs"/>
          <w:b/>
          <w:bCs/>
          <w:sz w:val="24"/>
          <w:szCs w:val="24"/>
          <w:rtl/>
        </w:rPr>
        <w:t>המקצוענים</w:t>
      </w:r>
      <w:r>
        <w:rPr>
          <w:rFonts w:hint="cs"/>
          <w:sz w:val="24"/>
          <w:szCs w:val="24"/>
          <w:rtl/>
        </w:rPr>
        <w:t xml:space="preserve">" ובכיכובה של השחקנית גילה אלמגור. </w:t>
      </w:r>
    </w:p>
    <w:p w:rsidR="00F6681D" w:rsidRDefault="00F6681D" w:rsidP="00A57686">
      <w:pPr>
        <w:pStyle w:val="a3"/>
        <w:numPr>
          <w:ilvl w:val="0"/>
          <w:numId w:val="1"/>
        </w:numPr>
        <w:spacing w:line="360" w:lineRule="auto"/>
        <w:rPr>
          <w:sz w:val="24"/>
          <w:szCs w:val="24"/>
        </w:rPr>
      </w:pPr>
      <w:r>
        <w:rPr>
          <w:rFonts w:hint="cs"/>
          <w:sz w:val="24"/>
          <w:szCs w:val="24"/>
          <w:rtl/>
        </w:rPr>
        <w:t>במסגרת תשדיר הפרסומת משולב קטע בו מחזיקה הגברת אלמגור בין אצבע לאגודל</w:t>
      </w:r>
      <w:r w:rsidR="002358A2">
        <w:rPr>
          <w:rFonts w:hint="cs"/>
          <w:sz w:val="24"/>
          <w:szCs w:val="24"/>
          <w:rtl/>
        </w:rPr>
        <w:t>,</w:t>
      </w:r>
      <w:r>
        <w:rPr>
          <w:rFonts w:hint="cs"/>
          <w:sz w:val="24"/>
          <w:szCs w:val="24"/>
          <w:rtl/>
        </w:rPr>
        <w:t xml:space="preserve"> זית, ואומרת ל</w:t>
      </w:r>
      <w:r w:rsidR="002358A2">
        <w:rPr>
          <w:rFonts w:hint="cs"/>
          <w:sz w:val="24"/>
          <w:szCs w:val="24"/>
          <w:rtl/>
        </w:rPr>
        <w:t xml:space="preserve">גבר, בעל </w:t>
      </w:r>
      <w:r>
        <w:rPr>
          <w:rFonts w:hint="cs"/>
          <w:sz w:val="24"/>
          <w:szCs w:val="24"/>
          <w:rtl/>
        </w:rPr>
        <w:t>מקצוע</w:t>
      </w:r>
      <w:r w:rsidR="002358A2">
        <w:rPr>
          <w:rFonts w:hint="cs"/>
          <w:sz w:val="24"/>
          <w:szCs w:val="24"/>
          <w:rtl/>
        </w:rPr>
        <w:t>,</w:t>
      </w:r>
      <w:r>
        <w:rPr>
          <w:rFonts w:hint="cs"/>
          <w:sz w:val="24"/>
          <w:szCs w:val="24"/>
          <w:rtl/>
        </w:rPr>
        <w:t xml:space="preserve"> הנוטש אותה מבלי לתת פתרון לבעייתה את המשפט: "</w:t>
      </w:r>
      <w:r w:rsidRPr="00F6681D">
        <w:rPr>
          <w:rFonts w:hint="cs"/>
          <w:b/>
          <w:bCs/>
          <w:sz w:val="24"/>
          <w:szCs w:val="24"/>
          <w:rtl/>
        </w:rPr>
        <w:t xml:space="preserve">מה </w:t>
      </w:r>
      <w:proofErr w:type="spellStart"/>
      <w:r w:rsidRPr="00F6681D">
        <w:rPr>
          <w:rFonts w:hint="cs"/>
          <w:b/>
          <w:bCs/>
          <w:sz w:val="24"/>
          <w:szCs w:val="24"/>
          <w:rtl/>
        </w:rPr>
        <w:t>סלמאת</w:t>
      </w:r>
      <w:proofErr w:type="spellEnd"/>
      <w:r w:rsidRPr="00F6681D">
        <w:rPr>
          <w:rFonts w:hint="cs"/>
          <w:b/>
          <w:bCs/>
          <w:sz w:val="24"/>
          <w:szCs w:val="24"/>
          <w:rtl/>
        </w:rPr>
        <w:t>? אתה הולך ומשאיר אותי עם הזית ביד</w:t>
      </w:r>
      <w:r>
        <w:rPr>
          <w:rFonts w:hint="cs"/>
          <w:sz w:val="24"/>
          <w:szCs w:val="24"/>
          <w:rtl/>
        </w:rPr>
        <w:t xml:space="preserve">". </w:t>
      </w:r>
    </w:p>
    <w:p w:rsidR="00CF78B3" w:rsidRDefault="00CF78B3" w:rsidP="00A57686">
      <w:pPr>
        <w:pStyle w:val="a3"/>
        <w:numPr>
          <w:ilvl w:val="0"/>
          <w:numId w:val="1"/>
        </w:numPr>
        <w:spacing w:line="360" w:lineRule="auto"/>
        <w:rPr>
          <w:sz w:val="24"/>
          <w:szCs w:val="24"/>
        </w:rPr>
      </w:pPr>
      <w:r>
        <w:rPr>
          <w:rFonts w:hint="cs"/>
          <w:sz w:val="24"/>
          <w:szCs w:val="24"/>
          <w:rtl/>
        </w:rPr>
        <w:t>קשה יהיה לחלוק על הדעה כי הביטוי</w:t>
      </w:r>
      <w:r w:rsidR="008D11D8">
        <w:rPr>
          <w:rFonts w:hint="cs"/>
          <w:sz w:val="24"/>
          <w:szCs w:val="24"/>
          <w:rtl/>
        </w:rPr>
        <w:t xml:space="preserve"> -</w:t>
      </w:r>
      <w:r>
        <w:rPr>
          <w:rFonts w:hint="cs"/>
          <w:sz w:val="24"/>
          <w:szCs w:val="24"/>
          <w:rtl/>
        </w:rPr>
        <w:t xml:space="preserve"> "</w:t>
      </w:r>
      <w:r w:rsidRPr="008D11D8">
        <w:rPr>
          <w:rFonts w:hint="cs"/>
          <w:b/>
          <w:bCs/>
          <w:sz w:val="24"/>
          <w:szCs w:val="24"/>
          <w:rtl/>
        </w:rPr>
        <w:t>משאיר אותי עם הזית ביד</w:t>
      </w:r>
      <w:r>
        <w:rPr>
          <w:rFonts w:hint="cs"/>
          <w:sz w:val="24"/>
          <w:szCs w:val="24"/>
          <w:rtl/>
        </w:rPr>
        <w:t>"</w:t>
      </w:r>
      <w:r w:rsidR="008D11D8">
        <w:rPr>
          <w:rFonts w:hint="cs"/>
          <w:sz w:val="24"/>
          <w:szCs w:val="24"/>
          <w:rtl/>
        </w:rPr>
        <w:t xml:space="preserve"> - </w:t>
      </w:r>
      <w:r>
        <w:rPr>
          <w:rFonts w:hint="cs"/>
          <w:sz w:val="24"/>
          <w:szCs w:val="24"/>
          <w:rtl/>
        </w:rPr>
        <w:t xml:space="preserve"> מוליך את הצופה הסביר, מילד ועד זקן, </w:t>
      </w:r>
      <w:r w:rsidR="008B71F3">
        <w:rPr>
          <w:rFonts w:hint="cs"/>
          <w:sz w:val="24"/>
          <w:szCs w:val="24"/>
          <w:rtl/>
        </w:rPr>
        <w:t xml:space="preserve">מגבר ועד אישה, </w:t>
      </w:r>
      <w:r w:rsidR="008D11D8">
        <w:rPr>
          <w:rFonts w:hint="cs"/>
          <w:sz w:val="24"/>
          <w:szCs w:val="24"/>
          <w:rtl/>
        </w:rPr>
        <w:t xml:space="preserve">על דרך הקונוטציה של הצליל, היישר אל עבר ביטוי עממי של ניבול הפה. וזאת, בניסיון גס רוח למשוך את תשומת ליבם של הצופים. </w:t>
      </w:r>
      <w:r>
        <w:rPr>
          <w:rFonts w:hint="cs"/>
          <w:sz w:val="24"/>
          <w:szCs w:val="24"/>
          <w:rtl/>
        </w:rPr>
        <w:t xml:space="preserve"> </w:t>
      </w:r>
    </w:p>
    <w:p w:rsidR="008D11D8" w:rsidRDefault="008D11D8" w:rsidP="00A57686">
      <w:pPr>
        <w:pStyle w:val="a3"/>
        <w:numPr>
          <w:ilvl w:val="0"/>
          <w:numId w:val="1"/>
        </w:numPr>
        <w:spacing w:line="360" w:lineRule="auto"/>
        <w:rPr>
          <w:sz w:val="24"/>
          <w:szCs w:val="24"/>
        </w:rPr>
      </w:pPr>
      <w:r>
        <w:rPr>
          <w:rFonts w:hint="cs"/>
          <w:sz w:val="24"/>
          <w:szCs w:val="24"/>
          <w:rtl/>
        </w:rPr>
        <w:t xml:space="preserve">תשדיר הפרסומת משודר בצמידות לתכניות שונות, משעות אחר הצהריים המוקדמות ועד שעות הלילה המאוחרות, תוך שאינו פוסח על אף קבוצת גיל של צופים אשר מבקשים לצפות בתכניות ולא תמיד יכולים להימנע מצפייה בתשדיר הבוטה. </w:t>
      </w:r>
    </w:p>
    <w:p w:rsidR="00CF78B3" w:rsidRDefault="008D11D8" w:rsidP="00A57686">
      <w:pPr>
        <w:pStyle w:val="a3"/>
        <w:numPr>
          <w:ilvl w:val="0"/>
          <w:numId w:val="1"/>
        </w:numPr>
        <w:spacing w:line="360" w:lineRule="auto"/>
        <w:rPr>
          <w:sz w:val="24"/>
          <w:szCs w:val="24"/>
        </w:rPr>
      </w:pPr>
      <w:r>
        <w:rPr>
          <w:rFonts w:hint="cs"/>
          <w:sz w:val="24"/>
          <w:szCs w:val="24"/>
          <w:rtl/>
        </w:rPr>
        <w:t xml:space="preserve">אני מצר על דרך התבטאות הבוטה </w:t>
      </w:r>
      <w:r w:rsidR="00F7192C">
        <w:rPr>
          <w:rFonts w:hint="cs"/>
          <w:sz w:val="24"/>
          <w:szCs w:val="24"/>
          <w:rtl/>
        </w:rPr>
        <w:t>שהמפרסם בחר כדי להעביר את המסר המסחרי לקהל הצופים, דרך</w:t>
      </w:r>
      <w:r w:rsidR="002358A2">
        <w:rPr>
          <w:rFonts w:hint="cs"/>
          <w:sz w:val="24"/>
          <w:szCs w:val="24"/>
          <w:rtl/>
        </w:rPr>
        <w:t>,</w:t>
      </w:r>
      <w:r w:rsidR="00F7192C">
        <w:rPr>
          <w:rFonts w:hint="cs"/>
          <w:sz w:val="24"/>
          <w:szCs w:val="24"/>
          <w:rtl/>
        </w:rPr>
        <w:t xml:space="preserve"> </w:t>
      </w:r>
      <w:r>
        <w:rPr>
          <w:rFonts w:hint="cs"/>
          <w:sz w:val="24"/>
          <w:szCs w:val="24"/>
          <w:rtl/>
        </w:rPr>
        <w:t xml:space="preserve">אשר פוגעת ברגשותיהם של צופים וצופות רבים.  </w:t>
      </w:r>
    </w:p>
    <w:p w:rsidR="00F7192C" w:rsidRDefault="00F7192C" w:rsidP="002358A2">
      <w:pPr>
        <w:pStyle w:val="a3"/>
        <w:numPr>
          <w:ilvl w:val="0"/>
          <w:numId w:val="1"/>
        </w:numPr>
        <w:spacing w:line="360" w:lineRule="auto"/>
        <w:rPr>
          <w:sz w:val="24"/>
          <w:szCs w:val="24"/>
        </w:rPr>
      </w:pPr>
      <w:r>
        <w:rPr>
          <w:rFonts w:hint="cs"/>
          <w:sz w:val="24"/>
          <w:szCs w:val="24"/>
          <w:rtl/>
        </w:rPr>
        <w:t>אוסיף ואומר כי העובדה</w:t>
      </w:r>
      <w:r w:rsidR="002358A2">
        <w:rPr>
          <w:rFonts w:hint="cs"/>
          <w:sz w:val="24"/>
          <w:szCs w:val="24"/>
          <w:rtl/>
        </w:rPr>
        <w:t>,</w:t>
      </w:r>
      <w:r>
        <w:rPr>
          <w:rFonts w:hint="cs"/>
          <w:sz w:val="24"/>
          <w:szCs w:val="24"/>
          <w:rtl/>
        </w:rPr>
        <w:t xml:space="preserve"> שהמפרסם בחר דווקא באשה לקריין את המשפט הוולגרי שלעיל, אינה נראית מקרית</w:t>
      </w:r>
      <w:r w:rsidR="002358A2">
        <w:rPr>
          <w:rFonts w:hint="cs"/>
          <w:sz w:val="24"/>
          <w:szCs w:val="24"/>
          <w:rtl/>
        </w:rPr>
        <w:t>,</w:t>
      </w:r>
      <w:r>
        <w:rPr>
          <w:rFonts w:hint="cs"/>
          <w:sz w:val="24"/>
          <w:szCs w:val="24"/>
          <w:rtl/>
        </w:rPr>
        <w:t xml:space="preserve"> והיא רק </w:t>
      </w:r>
      <w:r w:rsidR="002358A2">
        <w:rPr>
          <w:rFonts w:hint="cs"/>
          <w:sz w:val="24"/>
          <w:szCs w:val="24"/>
          <w:rtl/>
        </w:rPr>
        <w:t xml:space="preserve">מעצימה את גסות הרוח והביזוי לציבור גדול של נשים. </w:t>
      </w:r>
      <w:r>
        <w:rPr>
          <w:rFonts w:hint="cs"/>
          <w:sz w:val="24"/>
          <w:szCs w:val="24"/>
          <w:rtl/>
        </w:rPr>
        <w:t xml:space="preserve"> </w:t>
      </w:r>
    </w:p>
    <w:p w:rsidR="00F7192C" w:rsidRDefault="00F7192C" w:rsidP="00A57686">
      <w:pPr>
        <w:pStyle w:val="a3"/>
        <w:numPr>
          <w:ilvl w:val="0"/>
          <w:numId w:val="1"/>
        </w:numPr>
        <w:spacing w:line="360" w:lineRule="auto"/>
        <w:rPr>
          <w:sz w:val="24"/>
          <w:szCs w:val="24"/>
        </w:rPr>
      </w:pPr>
      <w:r>
        <w:rPr>
          <w:rFonts w:hint="cs"/>
          <w:sz w:val="24"/>
          <w:szCs w:val="24"/>
          <w:rtl/>
        </w:rPr>
        <w:t>חוק הרשות השנייה מעניק בידי מועצת הרשות את הסמכות לפסול תשדירי פרסומת אשר אינם עולים בקנה אחד עם הטעם הטוב</w:t>
      </w:r>
      <w:r w:rsidR="002358A2">
        <w:rPr>
          <w:rFonts w:hint="cs"/>
          <w:sz w:val="24"/>
          <w:szCs w:val="24"/>
          <w:rtl/>
        </w:rPr>
        <w:t>,</w:t>
      </w:r>
      <w:r>
        <w:rPr>
          <w:rFonts w:hint="cs"/>
          <w:sz w:val="24"/>
          <w:szCs w:val="24"/>
          <w:rtl/>
        </w:rPr>
        <w:t xml:space="preserve"> ושיש בהם כדי לפגוע ברגשות הציבור. </w:t>
      </w:r>
    </w:p>
    <w:p w:rsidR="00F7192C" w:rsidRPr="002358A2" w:rsidRDefault="00F7192C" w:rsidP="00A57686">
      <w:pPr>
        <w:pStyle w:val="GufPsak"/>
        <w:spacing w:line="360" w:lineRule="auto"/>
        <w:ind w:left="1440"/>
        <w:jc w:val="left"/>
        <w:rPr>
          <w:sz w:val="22"/>
          <w:u w:val="single"/>
          <w:rtl/>
        </w:rPr>
      </w:pPr>
      <w:r w:rsidRPr="002358A2">
        <w:rPr>
          <w:rFonts w:hint="cs"/>
          <w:sz w:val="24"/>
          <w:szCs w:val="24"/>
          <w:u w:val="single"/>
          <w:rtl/>
        </w:rPr>
        <w:lastRenderedPageBreak/>
        <w:t xml:space="preserve"> </w:t>
      </w:r>
      <w:r w:rsidRPr="002358A2">
        <w:rPr>
          <w:sz w:val="22"/>
          <w:u w:val="single"/>
          <w:rtl/>
        </w:rPr>
        <w:t>סעיף 24(א)(6) לחוק קובע, כי המועצה:</w:t>
      </w:r>
    </w:p>
    <w:p w:rsidR="00F7192C" w:rsidRPr="00F7192C" w:rsidRDefault="00F7192C" w:rsidP="00A57686">
      <w:pPr>
        <w:pStyle w:val="GufPsak"/>
        <w:spacing w:line="360" w:lineRule="auto"/>
        <w:ind w:left="1642" w:right="1282"/>
        <w:rPr>
          <w:b/>
          <w:bCs/>
          <w:i/>
          <w:iCs/>
          <w:sz w:val="22"/>
          <w:rtl/>
        </w:rPr>
      </w:pPr>
      <w:r w:rsidRPr="00F7192C">
        <w:rPr>
          <w:b/>
          <w:bCs/>
          <w:i/>
          <w:iCs/>
          <w:sz w:val="22"/>
          <w:rtl/>
        </w:rPr>
        <w:t>"תקבע כללים בכל הנוגע לשידורים, לביצועם ולפיקוח עליהם, ככל הנראה לה דרוש להגשמת מטרות חוק זה, ולרבות בדבר ... נושאיהם, סגנונם, תכנם, היקפם ועיתויים של שידורי פרסומת המותרים לפי חוק זה."</w:t>
      </w:r>
    </w:p>
    <w:p w:rsidR="00F7192C" w:rsidRPr="003100C6" w:rsidRDefault="00F7192C" w:rsidP="00A57686">
      <w:pPr>
        <w:pStyle w:val="GufPsak"/>
        <w:spacing w:line="360" w:lineRule="auto"/>
        <w:rPr>
          <w:sz w:val="22"/>
          <w:highlight w:val="yellow"/>
          <w:rtl/>
        </w:rPr>
      </w:pPr>
    </w:p>
    <w:p w:rsidR="00F7192C" w:rsidRPr="002358A2" w:rsidRDefault="00F7192C" w:rsidP="00A57686">
      <w:pPr>
        <w:pStyle w:val="GufPsak"/>
        <w:spacing w:line="360" w:lineRule="auto"/>
        <w:ind w:firstLine="720"/>
        <w:rPr>
          <w:sz w:val="22"/>
          <w:u w:val="single"/>
          <w:rtl/>
        </w:rPr>
      </w:pPr>
      <w:r w:rsidRPr="002358A2">
        <w:rPr>
          <w:sz w:val="22"/>
          <w:u w:val="single"/>
          <w:rtl/>
        </w:rPr>
        <w:t>ואילו סעיף 88 לחוק, שעניינו פרסומות, מפרט, כי המועצה:</w:t>
      </w:r>
    </w:p>
    <w:p w:rsidR="00F7192C" w:rsidRDefault="00F7192C" w:rsidP="00A57686">
      <w:pPr>
        <w:pStyle w:val="GufPsak"/>
        <w:spacing w:line="360" w:lineRule="auto"/>
        <w:rPr>
          <w:sz w:val="22"/>
          <w:rtl/>
        </w:rPr>
      </w:pPr>
    </w:p>
    <w:p w:rsidR="00F7192C" w:rsidRPr="00F7192C" w:rsidRDefault="00F7192C" w:rsidP="00A57686">
      <w:pPr>
        <w:pStyle w:val="GufPsak"/>
        <w:spacing w:line="360" w:lineRule="auto"/>
        <w:ind w:left="1642" w:right="1282"/>
        <w:rPr>
          <w:b/>
          <w:bCs/>
          <w:i/>
          <w:iCs/>
          <w:sz w:val="22"/>
          <w:rtl/>
        </w:rPr>
      </w:pPr>
      <w:r w:rsidRPr="00F7192C">
        <w:rPr>
          <w:b/>
          <w:bCs/>
          <w:i/>
          <w:iCs/>
          <w:sz w:val="22"/>
          <w:rtl/>
        </w:rPr>
        <w:t>"תקבע כללים בכל הקשור לשידורם של תשדירי פרסומת, בין היתר, בנושאים אלה: ... (2) נושאי פרסום האסורים לשידור כתשדירי פרסומת, דרך כלל, בנסיבות מסוימות או בשל היותם פוגעים בטעם הטוב או ברגשות הציבור."</w:t>
      </w:r>
    </w:p>
    <w:p w:rsidR="00F7192C" w:rsidRDefault="00F7192C" w:rsidP="00A57686">
      <w:pPr>
        <w:pStyle w:val="GufPsak"/>
        <w:spacing w:line="360" w:lineRule="auto"/>
        <w:rPr>
          <w:sz w:val="22"/>
          <w:rtl/>
        </w:rPr>
      </w:pPr>
    </w:p>
    <w:p w:rsidR="00F7192C" w:rsidRPr="00F7192C" w:rsidRDefault="00F7192C" w:rsidP="00A57686">
      <w:pPr>
        <w:pStyle w:val="GufPsak"/>
        <w:spacing w:line="360" w:lineRule="auto"/>
        <w:ind w:firstLine="720"/>
        <w:rPr>
          <w:sz w:val="22"/>
          <w:rtl/>
        </w:rPr>
      </w:pPr>
      <w:r w:rsidRPr="00F7192C">
        <w:rPr>
          <w:sz w:val="22"/>
          <w:rtl/>
        </w:rPr>
        <w:t xml:space="preserve">על נפקות הכללים שהמועצה הוסמכה לקבוע מורה סעיף 46(א)(4) לחוק הרשות </w:t>
      </w:r>
      <w:r w:rsidR="002358A2" w:rsidRPr="00F7192C">
        <w:rPr>
          <w:rFonts w:hint="cs"/>
          <w:sz w:val="22"/>
          <w:rtl/>
        </w:rPr>
        <w:t>השניי</w:t>
      </w:r>
      <w:r w:rsidR="002358A2" w:rsidRPr="00F7192C">
        <w:rPr>
          <w:rFonts w:hint="eastAsia"/>
          <w:sz w:val="22"/>
          <w:rtl/>
        </w:rPr>
        <w:t>ה</w:t>
      </w:r>
      <w:r w:rsidRPr="00F7192C">
        <w:rPr>
          <w:sz w:val="22"/>
          <w:rtl/>
        </w:rPr>
        <w:t>:</w:t>
      </w:r>
    </w:p>
    <w:p w:rsidR="00F7192C" w:rsidRPr="00F7192C" w:rsidRDefault="00F7192C" w:rsidP="00A57686">
      <w:pPr>
        <w:pStyle w:val="GufPsak"/>
        <w:spacing w:line="360" w:lineRule="auto"/>
        <w:rPr>
          <w:b/>
          <w:bCs/>
          <w:i/>
          <w:iCs/>
          <w:sz w:val="22"/>
          <w:rtl/>
        </w:rPr>
      </w:pPr>
    </w:p>
    <w:p w:rsidR="00F7192C" w:rsidRPr="00F7192C" w:rsidRDefault="00F7192C" w:rsidP="00A57686">
      <w:pPr>
        <w:pStyle w:val="GufPsak"/>
        <w:spacing w:line="360" w:lineRule="auto"/>
        <w:ind w:left="1642" w:right="1282"/>
        <w:rPr>
          <w:b/>
          <w:bCs/>
          <w:i/>
          <w:iCs/>
          <w:sz w:val="22"/>
          <w:rtl/>
        </w:rPr>
      </w:pPr>
      <w:r w:rsidRPr="00F7192C">
        <w:rPr>
          <w:b/>
          <w:bCs/>
          <w:i/>
          <w:iCs/>
          <w:sz w:val="22"/>
          <w:rtl/>
        </w:rPr>
        <w:t xml:space="preserve">"בעל </w:t>
      </w:r>
      <w:proofErr w:type="spellStart"/>
      <w:r w:rsidRPr="00F7192C">
        <w:rPr>
          <w:b/>
          <w:bCs/>
          <w:i/>
          <w:iCs/>
          <w:sz w:val="22"/>
          <w:rtl/>
        </w:rPr>
        <w:t>זכיון</w:t>
      </w:r>
      <w:proofErr w:type="spellEnd"/>
      <w:r w:rsidRPr="00F7192C">
        <w:rPr>
          <w:b/>
          <w:bCs/>
          <w:i/>
          <w:iCs/>
          <w:sz w:val="22"/>
          <w:rtl/>
        </w:rPr>
        <w:t xml:space="preserve"> לא ישדר שידורים שיש בהם ... הפרת איסור שקבעה המועצה בכללים לפי הוראה אחרת של חוק זה."</w:t>
      </w:r>
    </w:p>
    <w:p w:rsidR="00F7192C" w:rsidRPr="00F7192C" w:rsidRDefault="00F7192C" w:rsidP="00A57686">
      <w:pPr>
        <w:pStyle w:val="GufPsak"/>
        <w:spacing w:line="360" w:lineRule="auto"/>
        <w:rPr>
          <w:b/>
          <w:bCs/>
          <w:i/>
          <w:iCs/>
          <w:sz w:val="22"/>
          <w:rtl/>
        </w:rPr>
      </w:pPr>
    </w:p>
    <w:p w:rsidR="00F7192C" w:rsidRDefault="00F7192C" w:rsidP="00A57686">
      <w:pPr>
        <w:pStyle w:val="GufPsak"/>
        <w:numPr>
          <w:ilvl w:val="0"/>
          <w:numId w:val="1"/>
        </w:numPr>
        <w:spacing w:line="360" w:lineRule="auto"/>
        <w:rPr>
          <w:sz w:val="22"/>
          <w:rtl/>
        </w:rPr>
      </w:pPr>
      <w:r>
        <w:rPr>
          <w:sz w:val="22"/>
          <w:rtl/>
        </w:rPr>
        <w:t>בהתאם להוראות סעיפים 24 ו88-, קבעה המועצה בשנת 1994 את כללי האתיקה. הכללים מחזיקים עשרות הוראות, הנחיות והגבלות, האוסרות על בעלי הזיכיון לשדר סוגים רבים של פרסומות עקב תוכנן, אופן עריכתן, קהל היעד שלהן, וכדומה. בין הכללים הרבים, נסמכת הרשות בענייננו על שלושה:</w:t>
      </w:r>
    </w:p>
    <w:p w:rsidR="00F7192C" w:rsidRDefault="00F7192C" w:rsidP="00A57686">
      <w:pPr>
        <w:pStyle w:val="GufPsak"/>
        <w:spacing w:line="360" w:lineRule="auto"/>
        <w:rPr>
          <w:sz w:val="22"/>
          <w:rtl/>
        </w:rPr>
      </w:pPr>
    </w:p>
    <w:p w:rsidR="00F7192C" w:rsidRPr="00A57686" w:rsidRDefault="00F7192C" w:rsidP="00A57686">
      <w:pPr>
        <w:pStyle w:val="GufPsak"/>
        <w:spacing w:line="360" w:lineRule="auto"/>
        <w:ind w:left="1642" w:right="1282"/>
        <w:rPr>
          <w:b/>
          <w:bCs/>
          <w:sz w:val="22"/>
          <w:rtl/>
        </w:rPr>
      </w:pPr>
      <w:r w:rsidRPr="00A57686">
        <w:rPr>
          <w:b/>
          <w:bCs/>
          <w:sz w:val="22"/>
          <w:rtl/>
        </w:rPr>
        <w:t xml:space="preserve">"3. לא ישדר בעל </w:t>
      </w:r>
      <w:proofErr w:type="spellStart"/>
      <w:r w:rsidRPr="00A57686">
        <w:rPr>
          <w:b/>
          <w:bCs/>
          <w:sz w:val="22"/>
          <w:rtl/>
        </w:rPr>
        <w:t>זכיון</w:t>
      </w:r>
      <w:proofErr w:type="spellEnd"/>
      <w:r w:rsidRPr="00A57686">
        <w:rPr>
          <w:b/>
          <w:bCs/>
          <w:sz w:val="22"/>
          <w:rtl/>
        </w:rPr>
        <w:t xml:space="preserve"> תשדיר פרסומת שיש בו משום פגיעה בטעם הטוב, בכבודו של אדם או ברגשות הציבור.</w:t>
      </w:r>
    </w:p>
    <w:p w:rsidR="00F7192C" w:rsidRPr="00A57686" w:rsidRDefault="00F7192C" w:rsidP="00A57686">
      <w:pPr>
        <w:pStyle w:val="GufPsak"/>
        <w:spacing w:line="360" w:lineRule="auto"/>
        <w:rPr>
          <w:b/>
          <w:bCs/>
          <w:sz w:val="22"/>
          <w:rtl/>
        </w:rPr>
      </w:pPr>
    </w:p>
    <w:p w:rsidR="00F7192C" w:rsidRDefault="00F7192C" w:rsidP="00A57686">
      <w:pPr>
        <w:pStyle w:val="GufPsak"/>
        <w:spacing w:line="360" w:lineRule="auto"/>
        <w:ind w:left="1642" w:right="1282"/>
        <w:rPr>
          <w:b/>
          <w:bCs/>
          <w:sz w:val="22"/>
          <w:rtl/>
        </w:rPr>
      </w:pPr>
      <w:r w:rsidRPr="00A57686">
        <w:rPr>
          <w:b/>
          <w:bCs/>
          <w:sz w:val="22"/>
          <w:rtl/>
        </w:rPr>
        <w:t xml:space="preserve">5. לא ישדר בעל </w:t>
      </w:r>
      <w:proofErr w:type="spellStart"/>
      <w:r w:rsidRPr="00A57686">
        <w:rPr>
          <w:b/>
          <w:bCs/>
          <w:sz w:val="22"/>
          <w:rtl/>
        </w:rPr>
        <w:t>זכיון</w:t>
      </w:r>
      <w:proofErr w:type="spellEnd"/>
      <w:r w:rsidRPr="00A57686">
        <w:rPr>
          <w:b/>
          <w:bCs/>
          <w:sz w:val="22"/>
          <w:rtl/>
        </w:rPr>
        <w:t xml:space="preserve"> תשדיר פרסומת שיש בו הסתה לגזענות, לאפליה או לפגיעה באדם או בקבוצת בני אדם.</w:t>
      </w:r>
    </w:p>
    <w:p w:rsidR="00A57686" w:rsidRDefault="00A57686" w:rsidP="00A57686">
      <w:pPr>
        <w:pStyle w:val="GufPsak"/>
        <w:spacing w:line="360" w:lineRule="auto"/>
        <w:ind w:left="1642" w:right="1282"/>
        <w:rPr>
          <w:b/>
          <w:bCs/>
          <w:sz w:val="22"/>
          <w:rtl/>
        </w:rPr>
      </w:pPr>
    </w:p>
    <w:p w:rsidR="00A57686" w:rsidRPr="00A57686" w:rsidRDefault="00A57686" w:rsidP="00A57686">
      <w:pPr>
        <w:pStyle w:val="GufPsak"/>
        <w:spacing w:line="360" w:lineRule="auto"/>
        <w:ind w:left="1642" w:right="1282"/>
        <w:rPr>
          <w:b/>
          <w:bCs/>
          <w:sz w:val="22"/>
          <w:rtl/>
        </w:rPr>
      </w:pPr>
      <w:r w:rsidRPr="00A57686">
        <w:rPr>
          <w:b/>
          <w:bCs/>
          <w:sz w:val="22"/>
          <w:rtl/>
        </w:rPr>
        <w:t xml:space="preserve">14. מבלי לגרוע מהאמור בסעיף 3, לא ישדר בעל </w:t>
      </w:r>
      <w:proofErr w:type="spellStart"/>
      <w:r w:rsidRPr="00A57686">
        <w:rPr>
          <w:b/>
          <w:bCs/>
          <w:sz w:val="22"/>
          <w:rtl/>
        </w:rPr>
        <w:t>זכיון</w:t>
      </w:r>
      <w:proofErr w:type="spellEnd"/>
      <w:r w:rsidRPr="00A57686">
        <w:rPr>
          <w:b/>
          <w:bCs/>
          <w:sz w:val="22"/>
          <w:rtl/>
        </w:rPr>
        <w:t xml:space="preserve"> תשדיר פרסומת הכולל הצגה של יחסים מיניים, רמיזות מיניות, אדם כקורבן של אלימות מינית או כיוזם אלימות מינית אלא אם כן קיים ענין ציבורי מובהק בכך, במידה המתחייבת להוראות כל דין."</w:t>
      </w:r>
    </w:p>
    <w:p w:rsidR="00A57686" w:rsidRPr="00A57686" w:rsidRDefault="00A57686" w:rsidP="00A57686">
      <w:pPr>
        <w:pStyle w:val="GufPsak"/>
        <w:spacing w:line="360" w:lineRule="auto"/>
        <w:ind w:left="1642" w:right="1282"/>
        <w:rPr>
          <w:b/>
          <w:bCs/>
          <w:sz w:val="22"/>
          <w:rtl/>
        </w:rPr>
      </w:pPr>
    </w:p>
    <w:p w:rsidR="00A57686" w:rsidRDefault="00A57686" w:rsidP="00A57686">
      <w:pPr>
        <w:pStyle w:val="GufPsak"/>
        <w:numPr>
          <w:ilvl w:val="0"/>
          <w:numId w:val="1"/>
        </w:numPr>
        <w:spacing w:line="360" w:lineRule="auto"/>
        <w:rPr>
          <w:b/>
          <w:bCs/>
          <w:sz w:val="24"/>
          <w:szCs w:val="24"/>
        </w:rPr>
      </w:pPr>
      <w:r w:rsidRPr="001D4A8B">
        <w:rPr>
          <w:rFonts w:hint="cs"/>
          <w:sz w:val="22"/>
          <w:rtl/>
        </w:rPr>
        <w:t xml:space="preserve">  </w:t>
      </w:r>
      <w:r w:rsidRPr="001D4A8B">
        <w:rPr>
          <w:sz w:val="22"/>
          <w:rtl/>
        </w:rPr>
        <w:t xml:space="preserve">אין חולק, שחוק הרשות </w:t>
      </w:r>
      <w:r w:rsidR="002358A2" w:rsidRPr="001D4A8B">
        <w:rPr>
          <w:rFonts w:hint="cs"/>
          <w:sz w:val="22"/>
          <w:rtl/>
        </w:rPr>
        <w:t>השניי</w:t>
      </w:r>
      <w:r w:rsidR="002358A2" w:rsidRPr="001D4A8B">
        <w:rPr>
          <w:rFonts w:hint="eastAsia"/>
          <w:sz w:val="22"/>
          <w:rtl/>
        </w:rPr>
        <w:t>ה</w:t>
      </w:r>
      <w:r w:rsidRPr="001D4A8B">
        <w:rPr>
          <w:sz w:val="22"/>
          <w:rtl/>
        </w:rPr>
        <w:t xml:space="preserve"> מסמיך את המועצה לפגוע, באמצעות קביעת כללי האתיקה</w:t>
      </w:r>
      <w:r w:rsidRPr="00A57686">
        <w:rPr>
          <w:sz w:val="22"/>
          <w:rtl/>
        </w:rPr>
        <w:t xml:space="preserve"> ואכיפתם, בחופש הביטוי המסחרי. </w:t>
      </w:r>
      <w:r>
        <w:rPr>
          <w:rFonts w:hint="cs"/>
          <w:sz w:val="22"/>
          <w:rtl/>
        </w:rPr>
        <w:t>בפסיקה נקבע כי "במ</w:t>
      </w:r>
      <w:r>
        <w:rPr>
          <w:sz w:val="22"/>
          <w:rtl/>
        </w:rPr>
        <w:t xml:space="preserve">גוון סוגי הביטוי המסחרי, דומה </w:t>
      </w:r>
      <w:r>
        <w:rPr>
          <w:sz w:val="22"/>
          <w:rtl/>
        </w:rPr>
        <w:lastRenderedPageBreak/>
        <w:t>שקיימת הצדקה מיוחדת להטלת מגבלות על תשדיר הפרסומת בטלוויזיה המסחרית</w:t>
      </w:r>
      <w:r>
        <w:rPr>
          <w:rFonts w:hint="cs"/>
          <w:sz w:val="22"/>
          <w:rtl/>
        </w:rPr>
        <w:t>" (</w:t>
      </w:r>
      <w:r>
        <w:rPr>
          <w:sz w:val="22"/>
          <w:rtl/>
        </w:rPr>
        <w:t>בג"צ 226/04</w:t>
      </w:r>
      <w:r>
        <w:rPr>
          <w:rFonts w:hint="cs"/>
          <w:sz w:val="22"/>
          <w:rtl/>
        </w:rPr>
        <w:t>,</w:t>
      </w:r>
      <w:r>
        <w:rPr>
          <w:rStyle w:val="Mevakesh"/>
          <w:rFonts w:hint="cs"/>
          <w:rtl/>
        </w:rPr>
        <w:t xml:space="preserve"> </w:t>
      </w:r>
      <w:r w:rsidRPr="00A57686">
        <w:rPr>
          <w:rStyle w:val="Mevakesh"/>
          <w:b/>
          <w:bCs/>
          <w:u w:val="single"/>
          <w:rtl/>
        </w:rPr>
        <w:t>נטו מ.ע. סחר מזון בע"מ</w:t>
      </w:r>
      <w:r w:rsidRPr="00A57686">
        <w:rPr>
          <w:rFonts w:hint="cs"/>
          <w:b/>
          <w:bCs/>
          <w:sz w:val="24"/>
          <w:szCs w:val="24"/>
          <w:u w:val="single"/>
          <w:rtl/>
        </w:rPr>
        <w:t xml:space="preserve"> נ' הרשות השנייה</w:t>
      </w:r>
      <w:r>
        <w:rPr>
          <w:rFonts w:hint="cs"/>
          <w:b/>
          <w:bCs/>
          <w:sz w:val="24"/>
          <w:szCs w:val="24"/>
          <w:rtl/>
        </w:rPr>
        <w:t xml:space="preserve">, </w:t>
      </w:r>
      <w:r w:rsidRPr="00A57686">
        <w:rPr>
          <w:rFonts w:hint="cs"/>
          <w:sz w:val="24"/>
          <w:szCs w:val="24"/>
          <w:rtl/>
        </w:rPr>
        <w:t>פורסם בנבו</w:t>
      </w:r>
      <w:r>
        <w:rPr>
          <w:rFonts w:hint="cs"/>
          <w:b/>
          <w:bCs/>
          <w:sz w:val="24"/>
          <w:szCs w:val="24"/>
          <w:rtl/>
        </w:rPr>
        <w:t xml:space="preserve"> </w:t>
      </w:r>
      <w:r w:rsidRPr="00A57686">
        <w:rPr>
          <w:rFonts w:hint="cs"/>
          <w:sz w:val="24"/>
          <w:szCs w:val="24"/>
          <w:rtl/>
        </w:rPr>
        <w:t>01/09/04).</w:t>
      </w:r>
    </w:p>
    <w:p w:rsidR="001B646C" w:rsidRDefault="001B646C" w:rsidP="001B646C">
      <w:pPr>
        <w:pStyle w:val="GufPsak"/>
        <w:numPr>
          <w:ilvl w:val="0"/>
          <w:numId w:val="1"/>
        </w:numPr>
        <w:spacing w:line="360" w:lineRule="auto"/>
        <w:rPr>
          <w:sz w:val="24"/>
          <w:szCs w:val="24"/>
        </w:rPr>
      </w:pPr>
      <w:r>
        <w:rPr>
          <w:rFonts w:hint="cs"/>
          <w:sz w:val="24"/>
          <w:szCs w:val="24"/>
          <w:rtl/>
        </w:rPr>
        <w:t>לאור האמור לעיל אבקש לשאול האם בחנה הרשות השנייה לרדי</w:t>
      </w:r>
      <w:r>
        <w:rPr>
          <w:rFonts w:hint="eastAsia"/>
          <w:sz w:val="24"/>
          <w:szCs w:val="24"/>
          <w:rtl/>
        </w:rPr>
        <w:t>ו</w:t>
      </w:r>
      <w:r>
        <w:rPr>
          <w:rFonts w:hint="cs"/>
          <w:sz w:val="24"/>
          <w:szCs w:val="24"/>
          <w:rtl/>
        </w:rPr>
        <w:t xml:space="preserve"> ולטלוויז</w:t>
      </w:r>
      <w:r>
        <w:rPr>
          <w:rFonts w:hint="eastAsia"/>
          <w:sz w:val="24"/>
          <w:szCs w:val="24"/>
          <w:rtl/>
        </w:rPr>
        <w:t>יה</w:t>
      </w:r>
      <w:r>
        <w:rPr>
          <w:rFonts w:hint="cs"/>
          <w:sz w:val="24"/>
          <w:szCs w:val="24"/>
          <w:rtl/>
        </w:rPr>
        <w:t xml:space="preserve"> את התשדיר הנ"ל בטרם עלה לשידור, ואם לא עשתה כן מדוע שלא תעשה כן עתה, תוך הפעלת הסמכות המוקנית לה בחוק </w:t>
      </w:r>
      <w:r w:rsidR="001D4A8B" w:rsidRPr="001D4A8B">
        <w:rPr>
          <w:rFonts w:hint="cs"/>
          <w:sz w:val="24"/>
          <w:szCs w:val="24"/>
          <w:rtl/>
        </w:rPr>
        <w:t>ותפס</w:t>
      </w:r>
      <w:r>
        <w:rPr>
          <w:rFonts w:hint="cs"/>
          <w:sz w:val="24"/>
          <w:szCs w:val="24"/>
          <w:rtl/>
        </w:rPr>
        <w:t>ו</w:t>
      </w:r>
      <w:r w:rsidR="001D4A8B" w:rsidRPr="001D4A8B">
        <w:rPr>
          <w:rFonts w:hint="cs"/>
          <w:sz w:val="24"/>
          <w:szCs w:val="24"/>
          <w:rtl/>
        </w:rPr>
        <w:t>ל את התשדיר הנ"ל לשידור בערוצי הטלוויז</w:t>
      </w:r>
      <w:r w:rsidR="001D4A8B" w:rsidRPr="001D4A8B">
        <w:rPr>
          <w:rFonts w:hint="eastAsia"/>
          <w:sz w:val="24"/>
          <w:szCs w:val="24"/>
          <w:rtl/>
        </w:rPr>
        <w:t>יה</w:t>
      </w:r>
      <w:r w:rsidR="001D4A8B">
        <w:rPr>
          <w:rFonts w:hint="cs"/>
          <w:sz w:val="24"/>
          <w:szCs w:val="24"/>
          <w:rtl/>
        </w:rPr>
        <w:t xml:space="preserve"> המסחריים, ערוץ 2 ו- ערוץ 10</w:t>
      </w:r>
      <w:r w:rsidR="002358A2">
        <w:rPr>
          <w:rFonts w:hint="cs"/>
          <w:sz w:val="24"/>
          <w:szCs w:val="24"/>
          <w:rtl/>
        </w:rPr>
        <w:t>,</w:t>
      </w:r>
      <w:r w:rsidR="001D4A8B">
        <w:rPr>
          <w:rFonts w:hint="cs"/>
          <w:sz w:val="24"/>
          <w:szCs w:val="24"/>
          <w:rtl/>
        </w:rPr>
        <w:t xml:space="preserve"> הכפופים לסמכותה</w:t>
      </w:r>
      <w:r>
        <w:rPr>
          <w:rFonts w:hint="cs"/>
          <w:sz w:val="24"/>
          <w:szCs w:val="24"/>
          <w:rtl/>
        </w:rPr>
        <w:t xml:space="preserve">. </w:t>
      </w:r>
    </w:p>
    <w:p w:rsidR="001D4A8B" w:rsidRPr="001B646C" w:rsidRDefault="001D4A8B" w:rsidP="001B646C">
      <w:pPr>
        <w:pStyle w:val="GufPsak"/>
        <w:numPr>
          <w:ilvl w:val="0"/>
          <w:numId w:val="1"/>
        </w:numPr>
        <w:spacing w:line="360" w:lineRule="auto"/>
        <w:rPr>
          <w:sz w:val="24"/>
          <w:szCs w:val="24"/>
        </w:rPr>
      </w:pPr>
      <w:r w:rsidRPr="001B646C">
        <w:rPr>
          <w:rFonts w:hint="cs"/>
          <w:sz w:val="24"/>
          <w:szCs w:val="24"/>
          <w:rtl/>
        </w:rPr>
        <w:t xml:space="preserve">לחלופין </w:t>
      </w:r>
      <w:r w:rsidR="001B646C" w:rsidRPr="001B646C">
        <w:rPr>
          <w:rFonts w:hint="cs"/>
          <w:sz w:val="24"/>
          <w:szCs w:val="24"/>
          <w:rtl/>
        </w:rPr>
        <w:t xml:space="preserve">יכולה הרשות לדרוש </w:t>
      </w:r>
      <w:r w:rsidRPr="001B646C">
        <w:rPr>
          <w:rFonts w:hint="cs"/>
          <w:sz w:val="24"/>
          <w:szCs w:val="24"/>
          <w:rtl/>
        </w:rPr>
        <w:t>מהמפרסם להסיר את הא</w:t>
      </w:r>
      <w:r w:rsidR="001B646C" w:rsidRPr="001B646C">
        <w:rPr>
          <w:rFonts w:hint="cs"/>
          <w:sz w:val="24"/>
          <w:szCs w:val="24"/>
          <w:rtl/>
        </w:rPr>
        <w:t xml:space="preserve">מירות הפוגעניות מתוכן הפרסומת, ולחילופי חילופין </w:t>
      </w:r>
      <w:r w:rsidRPr="001B646C">
        <w:rPr>
          <w:rFonts w:hint="cs"/>
          <w:sz w:val="24"/>
          <w:szCs w:val="24"/>
          <w:rtl/>
        </w:rPr>
        <w:t>להפעיל את סמכותך</w:t>
      </w:r>
      <w:r w:rsidR="001B646C">
        <w:rPr>
          <w:rFonts w:hint="cs"/>
          <w:sz w:val="24"/>
          <w:szCs w:val="24"/>
          <w:rtl/>
        </w:rPr>
        <w:t>,</w:t>
      </w:r>
      <w:r w:rsidRPr="001B646C">
        <w:rPr>
          <w:rFonts w:hint="cs"/>
          <w:sz w:val="24"/>
          <w:szCs w:val="24"/>
          <w:rtl/>
        </w:rPr>
        <w:t xml:space="preserve"> ולהגביל את שעות שידורה של הפרסומת לשעות לילה מאוחרות</w:t>
      </w:r>
      <w:r w:rsidR="001B646C">
        <w:rPr>
          <w:rFonts w:hint="cs"/>
          <w:sz w:val="24"/>
          <w:szCs w:val="24"/>
          <w:rtl/>
        </w:rPr>
        <w:t>. כך לכל ה</w:t>
      </w:r>
      <w:r w:rsidRPr="001B646C">
        <w:rPr>
          <w:rFonts w:hint="cs"/>
          <w:sz w:val="24"/>
          <w:szCs w:val="24"/>
          <w:rtl/>
        </w:rPr>
        <w:t xml:space="preserve">פחות </w:t>
      </w:r>
      <w:r w:rsidR="001B646C">
        <w:rPr>
          <w:rFonts w:hint="cs"/>
          <w:sz w:val="24"/>
          <w:szCs w:val="24"/>
          <w:rtl/>
        </w:rPr>
        <w:t xml:space="preserve">תימנע </w:t>
      </w:r>
      <w:r w:rsidRPr="001B646C">
        <w:rPr>
          <w:rFonts w:hint="cs"/>
          <w:sz w:val="24"/>
          <w:szCs w:val="24"/>
          <w:rtl/>
        </w:rPr>
        <w:t>קב</w:t>
      </w:r>
      <w:r w:rsidR="002358A2" w:rsidRPr="001B646C">
        <w:rPr>
          <w:rFonts w:hint="cs"/>
          <w:sz w:val="24"/>
          <w:szCs w:val="24"/>
          <w:rtl/>
        </w:rPr>
        <w:t>ו</w:t>
      </w:r>
      <w:r w:rsidRPr="001B646C">
        <w:rPr>
          <w:rFonts w:hint="cs"/>
          <w:sz w:val="24"/>
          <w:szCs w:val="24"/>
          <w:rtl/>
        </w:rPr>
        <w:t xml:space="preserve">צת הגיל הצעירה יותר </w:t>
      </w:r>
      <w:r w:rsidR="001B646C">
        <w:rPr>
          <w:rFonts w:hint="cs"/>
          <w:sz w:val="24"/>
          <w:szCs w:val="24"/>
          <w:rtl/>
        </w:rPr>
        <w:t xml:space="preserve">מפני </w:t>
      </w:r>
      <w:r w:rsidRPr="001B646C">
        <w:rPr>
          <w:rFonts w:hint="cs"/>
          <w:sz w:val="24"/>
          <w:szCs w:val="24"/>
          <w:rtl/>
        </w:rPr>
        <w:t xml:space="preserve">החשיפה לפרסומת הפוגענית. </w:t>
      </w:r>
    </w:p>
    <w:p w:rsidR="00EF7EF8" w:rsidRDefault="00EF7EF8" w:rsidP="00EF7EF8">
      <w:pPr>
        <w:pStyle w:val="GufPsak"/>
        <w:spacing w:line="360" w:lineRule="auto"/>
        <w:rPr>
          <w:sz w:val="24"/>
          <w:szCs w:val="24"/>
          <w:rtl/>
        </w:rPr>
      </w:pPr>
    </w:p>
    <w:p w:rsidR="00EF7EF8" w:rsidRDefault="00EF7EF8" w:rsidP="00EF7EF8">
      <w:pPr>
        <w:pStyle w:val="GufPsak"/>
        <w:spacing w:line="360" w:lineRule="auto"/>
        <w:rPr>
          <w:sz w:val="24"/>
          <w:szCs w:val="24"/>
          <w:rtl/>
        </w:rPr>
      </w:pPr>
    </w:p>
    <w:p w:rsidR="00EF7EF8" w:rsidRDefault="00EF7EF8" w:rsidP="00EF4628">
      <w:pPr>
        <w:pStyle w:val="GufPsak"/>
        <w:spacing w:line="360" w:lineRule="auto"/>
        <w:jc w:val="center"/>
        <w:rPr>
          <w:sz w:val="24"/>
          <w:szCs w:val="24"/>
          <w:rtl/>
        </w:rPr>
      </w:pPr>
      <w:r>
        <w:rPr>
          <w:rFonts w:hint="cs"/>
          <w:sz w:val="24"/>
          <w:szCs w:val="24"/>
          <w:rtl/>
        </w:rPr>
        <w:t>בכבוד רב,</w:t>
      </w:r>
    </w:p>
    <w:p w:rsidR="008B71F3" w:rsidRDefault="00EF7EF8" w:rsidP="008B71F3">
      <w:pPr>
        <w:pStyle w:val="GufPsak"/>
        <w:spacing w:line="360" w:lineRule="auto"/>
        <w:jc w:val="left"/>
        <w:rPr>
          <w:sz w:val="24"/>
          <w:szCs w:val="24"/>
          <w:rtl/>
        </w:rPr>
      </w:pPr>
      <w:r>
        <w:rPr>
          <w:rFonts w:hint="cs"/>
          <w:sz w:val="24"/>
          <w:szCs w:val="24"/>
          <w:rtl/>
        </w:rPr>
        <w:t>מימון פאר</w:t>
      </w:r>
      <w:r w:rsidR="00EF4628">
        <w:rPr>
          <w:rFonts w:hint="cs"/>
          <w:sz w:val="24"/>
          <w:szCs w:val="24"/>
          <w:rtl/>
        </w:rPr>
        <w:t>, משפטן</w:t>
      </w:r>
      <w:r w:rsidR="008B71F3">
        <w:rPr>
          <w:rFonts w:hint="cs"/>
          <w:sz w:val="24"/>
          <w:szCs w:val="24"/>
          <w:rtl/>
        </w:rPr>
        <w:t xml:space="preserve">                                                                    אילנה שושן, משפטנית</w:t>
      </w:r>
    </w:p>
    <w:p w:rsidR="00EF7EF8" w:rsidRDefault="008B71F3" w:rsidP="00097753">
      <w:pPr>
        <w:pStyle w:val="GufPsak"/>
        <w:spacing w:line="360" w:lineRule="auto"/>
        <w:jc w:val="left"/>
        <w:rPr>
          <w:sz w:val="24"/>
          <w:szCs w:val="24"/>
          <w:rtl/>
        </w:rPr>
      </w:pPr>
      <w:r>
        <w:rPr>
          <w:rFonts w:hint="cs"/>
          <w:sz w:val="24"/>
          <w:szCs w:val="24"/>
          <w:rtl/>
        </w:rPr>
        <w:t xml:space="preserve">יו"ר עמותת "אמני ישראל מתאגדים" </w:t>
      </w:r>
      <w:r w:rsidR="00EF4628">
        <w:rPr>
          <w:rFonts w:hint="cs"/>
          <w:sz w:val="24"/>
          <w:szCs w:val="24"/>
          <w:rtl/>
        </w:rPr>
        <w:t xml:space="preserve">      </w:t>
      </w:r>
      <w:r>
        <w:rPr>
          <w:rFonts w:hint="cs"/>
          <w:sz w:val="24"/>
          <w:szCs w:val="24"/>
          <w:rtl/>
        </w:rPr>
        <w:t xml:space="preserve">                                      </w:t>
      </w:r>
    </w:p>
    <w:p w:rsidR="00EF7EF8" w:rsidRDefault="00915C42" w:rsidP="00EF4628">
      <w:pPr>
        <w:pStyle w:val="GufPsak"/>
        <w:spacing w:line="360" w:lineRule="auto"/>
        <w:jc w:val="left"/>
        <w:rPr>
          <w:sz w:val="24"/>
          <w:szCs w:val="24"/>
        </w:rPr>
      </w:pPr>
      <w:hyperlink r:id="rId5" w:history="1">
        <w:r w:rsidR="00EF4628" w:rsidRPr="005E0F88">
          <w:rPr>
            <w:rStyle w:val="Hyperlink"/>
            <w:rFonts w:hint="cs"/>
            <w:sz w:val="24"/>
            <w:szCs w:val="24"/>
          </w:rPr>
          <w:t>M</w:t>
        </w:r>
        <w:r w:rsidR="00EF4628" w:rsidRPr="005E0F88">
          <w:rPr>
            <w:rStyle w:val="Hyperlink"/>
            <w:sz w:val="24"/>
            <w:szCs w:val="24"/>
          </w:rPr>
          <w:t>aymonpeer1@gmail.com</w:t>
        </w:r>
      </w:hyperlink>
      <w:r w:rsidR="00EF4628">
        <w:rPr>
          <w:rFonts w:hint="cs"/>
          <w:sz w:val="24"/>
          <w:szCs w:val="24"/>
          <w:rtl/>
        </w:rPr>
        <w:t xml:space="preserve">                                                 </w:t>
      </w:r>
    </w:p>
    <w:p w:rsidR="001D4A8B" w:rsidRPr="001D4A8B" w:rsidRDefault="00EF7EF8" w:rsidP="00EF4628">
      <w:pPr>
        <w:pStyle w:val="GufPsak"/>
        <w:spacing w:line="360" w:lineRule="auto"/>
        <w:ind w:left="720"/>
        <w:jc w:val="left"/>
        <w:rPr>
          <w:sz w:val="24"/>
          <w:szCs w:val="24"/>
        </w:rPr>
      </w:pPr>
      <w:r>
        <w:rPr>
          <w:rFonts w:hint="cs"/>
          <w:sz w:val="24"/>
          <w:szCs w:val="24"/>
          <w:rtl/>
        </w:rPr>
        <w:t>050-5665505</w:t>
      </w:r>
    </w:p>
    <w:p w:rsidR="00A57686" w:rsidRDefault="00A57686" w:rsidP="00A57686">
      <w:pPr>
        <w:pStyle w:val="GufPsak"/>
        <w:spacing w:line="360" w:lineRule="auto"/>
        <w:rPr>
          <w:b/>
          <w:bCs/>
          <w:sz w:val="24"/>
          <w:szCs w:val="24"/>
          <w:rtl/>
        </w:rPr>
      </w:pPr>
    </w:p>
    <w:p w:rsidR="00282ED7" w:rsidRDefault="002358A2" w:rsidP="00A57686">
      <w:pPr>
        <w:pStyle w:val="GufPsak"/>
        <w:spacing w:line="360" w:lineRule="auto"/>
        <w:rPr>
          <w:sz w:val="24"/>
          <w:szCs w:val="24"/>
          <w:rtl/>
        </w:rPr>
      </w:pPr>
      <w:r w:rsidRPr="002358A2">
        <w:rPr>
          <w:rFonts w:hint="cs"/>
          <w:sz w:val="24"/>
          <w:szCs w:val="24"/>
          <w:rtl/>
        </w:rPr>
        <w:t xml:space="preserve">העתק: </w:t>
      </w:r>
    </w:p>
    <w:p w:rsidR="00A57686" w:rsidRDefault="002358A2" w:rsidP="00A57686">
      <w:pPr>
        <w:pStyle w:val="GufPsak"/>
        <w:spacing w:line="360" w:lineRule="auto"/>
        <w:rPr>
          <w:sz w:val="24"/>
          <w:szCs w:val="24"/>
          <w:rtl/>
        </w:rPr>
      </w:pPr>
      <w:r w:rsidRPr="002358A2">
        <w:rPr>
          <w:rFonts w:hint="cs"/>
          <w:sz w:val="24"/>
          <w:szCs w:val="24"/>
          <w:rtl/>
        </w:rPr>
        <w:t>מר דוד רגב, נציב פניות הציבור</w:t>
      </w:r>
    </w:p>
    <w:p w:rsidR="00282ED7" w:rsidRPr="002358A2" w:rsidRDefault="00282ED7" w:rsidP="00A57686">
      <w:pPr>
        <w:pStyle w:val="GufPsak"/>
        <w:spacing w:line="360" w:lineRule="auto"/>
        <w:rPr>
          <w:sz w:val="24"/>
          <w:szCs w:val="24"/>
        </w:rPr>
      </w:pPr>
      <w:r>
        <w:rPr>
          <w:rFonts w:hint="cs"/>
          <w:sz w:val="24"/>
          <w:szCs w:val="24"/>
          <w:rtl/>
        </w:rPr>
        <w:t xml:space="preserve">חברי מועצת הרשות השנייה </w:t>
      </w:r>
    </w:p>
    <w:p w:rsidR="00A57686" w:rsidRDefault="00A57686" w:rsidP="00A57686">
      <w:pPr>
        <w:pStyle w:val="GufPsak"/>
        <w:spacing w:line="360" w:lineRule="auto"/>
        <w:rPr>
          <w:b/>
          <w:bCs/>
          <w:sz w:val="24"/>
          <w:szCs w:val="24"/>
          <w:rtl/>
        </w:rPr>
      </w:pPr>
    </w:p>
    <w:p w:rsidR="00A57686" w:rsidRPr="00A57686" w:rsidRDefault="00A57686" w:rsidP="00A57686">
      <w:pPr>
        <w:pStyle w:val="GufPsak"/>
        <w:spacing w:line="360" w:lineRule="auto"/>
        <w:rPr>
          <w:b/>
          <w:bCs/>
          <w:sz w:val="24"/>
          <w:szCs w:val="24"/>
        </w:rPr>
      </w:pPr>
    </w:p>
    <w:p w:rsidR="00A57686" w:rsidRPr="00A57686" w:rsidRDefault="00A57686" w:rsidP="00A57686">
      <w:pPr>
        <w:pStyle w:val="GufPsak"/>
        <w:spacing w:line="360" w:lineRule="auto"/>
        <w:ind w:left="720"/>
        <w:rPr>
          <w:b/>
          <w:bCs/>
          <w:sz w:val="24"/>
          <w:szCs w:val="24"/>
        </w:rPr>
      </w:pPr>
    </w:p>
    <w:p w:rsidR="00F7192C" w:rsidRPr="00A57686" w:rsidRDefault="00F7192C" w:rsidP="00A57686">
      <w:pPr>
        <w:pStyle w:val="GufPsak"/>
        <w:ind w:left="720"/>
        <w:rPr>
          <w:b/>
          <w:bCs/>
          <w:sz w:val="24"/>
          <w:szCs w:val="24"/>
        </w:rPr>
      </w:pPr>
    </w:p>
    <w:sectPr w:rsidR="00F7192C" w:rsidRPr="00A57686" w:rsidSect="008412F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riam">
    <w:panose1 w:val="020B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7046C2E"/>
    <w:lvl w:ilvl="0">
      <w:start w:val="1"/>
      <w:numFmt w:val="decimal"/>
      <w:lvlText w:val="%1."/>
      <w:lvlJc w:val="right"/>
      <w:pPr>
        <w:tabs>
          <w:tab w:val="num" w:pos="360"/>
        </w:tabs>
        <w:ind w:left="360" w:hanging="360"/>
      </w:pPr>
      <w:rPr>
        <w:rFonts w:cs="Arial"/>
      </w:rPr>
    </w:lvl>
  </w:abstractNum>
  <w:abstractNum w:abstractNumId="1" w15:restartNumberingAfterBreak="0">
    <w:nsid w:val="050B2BE0"/>
    <w:multiLevelType w:val="hybridMultilevel"/>
    <w:tmpl w:val="D918FAF2"/>
    <w:lvl w:ilvl="0" w:tplc="AD3699E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2E49A3"/>
    <w:multiLevelType w:val="hybridMultilevel"/>
    <w:tmpl w:val="86AAB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81D"/>
    <w:rsid w:val="00097753"/>
    <w:rsid w:val="00112F54"/>
    <w:rsid w:val="001B646C"/>
    <w:rsid w:val="001C604F"/>
    <w:rsid w:val="001D4A8B"/>
    <w:rsid w:val="002358A2"/>
    <w:rsid w:val="00282ED7"/>
    <w:rsid w:val="005C7099"/>
    <w:rsid w:val="008412F8"/>
    <w:rsid w:val="008B71F3"/>
    <w:rsid w:val="008D11D8"/>
    <w:rsid w:val="00915C42"/>
    <w:rsid w:val="00A57686"/>
    <w:rsid w:val="00CF78B3"/>
    <w:rsid w:val="00EB0B84"/>
    <w:rsid w:val="00EF4628"/>
    <w:rsid w:val="00EF7EF8"/>
    <w:rsid w:val="00F6681D"/>
    <w:rsid w:val="00F7192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A1D1F-0A37-49DB-A18D-2347AE0FA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4">
    <w:name w:val="heading 4"/>
    <w:basedOn w:val="a"/>
    <w:next w:val="a"/>
    <w:link w:val="40"/>
    <w:uiPriority w:val="99"/>
    <w:qFormat/>
    <w:rsid w:val="00A57686"/>
    <w:pPr>
      <w:keepNext/>
      <w:autoSpaceDE w:val="0"/>
      <w:autoSpaceDN w:val="0"/>
      <w:spacing w:before="240" w:after="60" w:line="240" w:lineRule="auto"/>
      <w:jc w:val="both"/>
      <w:outlineLvl w:val="3"/>
    </w:pPr>
    <w:rPr>
      <w:rFonts w:ascii="Arial" w:eastAsiaTheme="minorEastAsia" w:hAnsi="Arial" w:cs="Miriam"/>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681D"/>
    <w:pPr>
      <w:ind w:left="720"/>
      <w:contextualSpacing/>
    </w:pPr>
  </w:style>
  <w:style w:type="paragraph" w:customStyle="1" w:styleId="GufPsak">
    <w:name w:val="GufPsak"/>
    <w:basedOn w:val="a"/>
    <w:uiPriority w:val="99"/>
    <w:rsid w:val="00F7192C"/>
    <w:pPr>
      <w:autoSpaceDE w:val="0"/>
      <w:autoSpaceDN w:val="0"/>
      <w:spacing w:after="0" w:line="300" w:lineRule="exact"/>
      <w:jc w:val="both"/>
    </w:pPr>
    <w:rPr>
      <w:rFonts w:ascii="Arial" w:eastAsiaTheme="minorEastAsia" w:hAnsi="Arial" w:cs="Arial"/>
      <w:sz w:val="20"/>
    </w:rPr>
  </w:style>
  <w:style w:type="character" w:customStyle="1" w:styleId="40">
    <w:name w:val="כותרת 4 תו"/>
    <w:basedOn w:val="a0"/>
    <w:link w:val="4"/>
    <w:uiPriority w:val="99"/>
    <w:rsid w:val="00A57686"/>
    <w:rPr>
      <w:rFonts w:ascii="Arial" w:eastAsiaTheme="minorEastAsia" w:hAnsi="Arial" w:cs="Miriam"/>
      <w:b/>
      <w:bCs/>
      <w:sz w:val="20"/>
    </w:rPr>
  </w:style>
  <w:style w:type="character" w:customStyle="1" w:styleId="Mevakesh">
    <w:name w:val="Mevakesh"/>
    <w:basedOn w:val="a0"/>
    <w:uiPriority w:val="99"/>
    <w:rsid w:val="00A57686"/>
    <w:rPr>
      <w:rFonts w:ascii="Arial" w:hAnsi="Arial" w:cs="Arial"/>
      <w:sz w:val="22"/>
      <w:szCs w:val="22"/>
    </w:rPr>
  </w:style>
  <w:style w:type="character" w:styleId="Hyperlink">
    <w:name w:val="Hyperlink"/>
    <w:basedOn w:val="a0"/>
    <w:uiPriority w:val="99"/>
    <w:unhideWhenUsed/>
    <w:rsid w:val="00EF46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ymonpeer1@g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653</Words>
  <Characters>3270</Characters>
  <Application>Microsoft Office Word</Application>
  <DocSecurity>0</DocSecurity>
  <Lines>27</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computer</cp:lastModifiedBy>
  <cp:revision>5</cp:revision>
  <dcterms:created xsi:type="dcterms:W3CDTF">2016-08-03T06:14:00Z</dcterms:created>
  <dcterms:modified xsi:type="dcterms:W3CDTF">2016-08-03T06:41:00Z</dcterms:modified>
</cp:coreProperties>
</file>