
<file path=[Content_Types].xml><?xml version="1.0" encoding="utf-8"?>
<Types xmlns="http://schemas.openxmlformats.org/package/2006/content-types">
  <Default Extension="emf" ContentType="image/x-emf"/>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72280B" w14:textId="77777777" w:rsidR="00B735C0" w:rsidRDefault="00B735C0" w:rsidP="00301498">
      <w:pPr>
        <w:spacing w:before="100" w:beforeAutospacing="1" w:after="100" w:afterAutospacing="1"/>
        <w:jc w:val="both"/>
        <w:rPr>
          <w:rFonts w:ascii="David" w:hAnsi="David" w:cs="David"/>
          <w:b/>
          <w:bCs/>
          <w:color w:val="000000"/>
          <w:sz w:val="28"/>
          <w:szCs w:val="28"/>
          <w:rtl/>
        </w:rPr>
      </w:pPr>
      <w:bookmarkStart w:id="0" w:name="_Hlk199990012"/>
      <w:bookmarkStart w:id="1" w:name="_Hlk174092668"/>
      <w:bookmarkStart w:id="2" w:name="_Hlk177978420"/>
      <w:bookmarkStart w:id="3" w:name="_Hlk178573150"/>
      <w:bookmarkStart w:id="4" w:name="_Hlk179379268"/>
      <w:r w:rsidRPr="0073434D">
        <w:rPr>
          <w:rFonts w:ascii="David" w:hAnsi="David" w:cs="David"/>
          <w:b/>
          <w:bCs/>
          <w:color w:val="000000"/>
          <w:sz w:val="28"/>
          <w:szCs w:val="28"/>
          <w:rtl/>
        </w:rPr>
        <w:t>מידע מוסדר</w:t>
      </w:r>
    </w:p>
    <w:p w14:paraId="39C78E0E" w14:textId="77777777" w:rsidR="00B735C0" w:rsidRPr="0073434D" w:rsidRDefault="00B735C0" w:rsidP="00C2053D">
      <w:pPr>
        <w:spacing w:before="100" w:beforeAutospacing="1" w:after="100" w:afterAutospacing="1"/>
        <w:jc w:val="center"/>
        <w:rPr>
          <w:rFonts w:ascii="David" w:hAnsi="David" w:cs="David"/>
          <w:color w:val="000000"/>
          <w:sz w:val="32"/>
          <w:szCs w:val="32"/>
        </w:rPr>
      </w:pPr>
      <w:proofErr w:type="spellStart"/>
      <w:r w:rsidRPr="0073434D">
        <w:rPr>
          <w:rFonts w:ascii="David" w:hAnsi="David" w:cs="David"/>
          <w:b/>
          <w:bCs/>
          <w:color w:val="000000"/>
          <w:sz w:val="32"/>
          <w:szCs w:val="32"/>
          <w:rtl/>
        </w:rPr>
        <w:t>Nyxoah</w:t>
      </w:r>
      <w:proofErr w:type="spellEnd"/>
      <w:r w:rsidRPr="0073434D">
        <w:rPr>
          <w:rFonts w:ascii="David" w:hAnsi="David" w:cs="David"/>
          <w:b/>
          <w:bCs/>
          <w:color w:val="000000"/>
          <w:sz w:val="32"/>
          <w:szCs w:val="32"/>
          <w:rtl/>
        </w:rPr>
        <w:t xml:space="preserve"> מדווחת על תוצאות כספיות ותפעוליות לרבעון השלישי של 2025</w:t>
      </w:r>
    </w:p>
    <w:p w14:paraId="2511E21C" w14:textId="0A445DFE" w:rsidR="00B735C0" w:rsidRDefault="00B735C0" w:rsidP="00113A50">
      <w:pPr>
        <w:spacing w:before="100" w:beforeAutospacing="1" w:after="100" w:afterAutospacing="1"/>
        <w:jc w:val="both"/>
        <w:rPr>
          <w:rFonts w:ascii="David" w:hAnsi="David" w:cs="David"/>
          <w:b/>
          <w:bCs/>
          <w:color w:val="000000"/>
          <w:sz w:val="28"/>
          <w:szCs w:val="28"/>
        </w:rPr>
      </w:pPr>
      <w:r w:rsidRPr="0073434D">
        <w:rPr>
          <w:rFonts w:ascii="David" w:hAnsi="David" w:cs="David"/>
          <w:color w:val="000000"/>
          <w:sz w:val="28"/>
          <w:szCs w:val="28"/>
          <w:rtl/>
        </w:rPr>
        <w:t>מון-סן-גיבר, בלגיה – 13 בנובמבר 2025</w:t>
      </w:r>
      <w:r w:rsidRPr="0073434D">
        <w:rPr>
          <w:rFonts w:ascii="David" w:hAnsi="David" w:cs="David"/>
          <w:b/>
          <w:bCs/>
          <w:color w:val="000000"/>
          <w:sz w:val="28"/>
          <w:szCs w:val="28"/>
          <w:rtl/>
        </w:rPr>
        <w:t>, GLOBE NEWSWIRE</w:t>
      </w:r>
    </w:p>
    <w:p w14:paraId="0622B690" w14:textId="4448D0E6" w:rsidR="00B735C0" w:rsidRPr="00B735C0" w:rsidRDefault="00B735C0" w:rsidP="00B735C0">
      <w:pPr>
        <w:spacing w:before="100" w:beforeAutospacing="1" w:after="100" w:afterAutospacing="1"/>
        <w:jc w:val="both"/>
        <w:rPr>
          <w:rFonts w:ascii="David" w:hAnsi="David" w:cs="David"/>
          <w:color w:val="000000"/>
          <w:sz w:val="28"/>
          <w:szCs w:val="28"/>
        </w:rPr>
      </w:pPr>
      <w:proofErr w:type="spellStart"/>
      <w:r w:rsidRPr="00B735C0">
        <w:rPr>
          <w:rFonts w:ascii="David" w:hAnsi="David" w:cs="David"/>
          <w:b/>
          <w:bCs/>
          <w:color w:val="000000"/>
          <w:sz w:val="28"/>
          <w:szCs w:val="28"/>
        </w:rPr>
        <w:t>Nyxoah</w:t>
      </w:r>
      <w:proofErr w:type="spellEnd"/>
      <w:r w:rsidRPr="00B735C0">
        <w:rPr>
          <w:rFonts w:ascii="David" w:hAnsi="David" w:cs="David"/>
          <w:b/>
          <w:bCs/>
          <w:color w:val="000000"/>
          <w:sz w:val="28"/>
          <w:szCs w:val="28"/>
        </w:rPr>
        <w:t> SA</w:t>
      </w:r>
      <w:r w:rsidRPr="00B735C0">
        <w:rPr>
          <w:rFonts w:ascii="David" w:hAnsi="David" w:cs="David"/>
          <w:color w:val="000000"/>
          <w:sz w:val="28"/>
          <w:szCs w:val="28"/>
          <w:rtl/>
        </w:rPr>
        <w:t xml:space="preserve"> </w:t>
      </w:r>
      <w:r w:rsidRPr="00B735C0">
        <w:rPr>
          <w:rFonts w:ascii="David" w:hAnsi="David" w:cs="David" w:hint="cs"/>
          <w:color w:val="000000"/>
          <w:sz w:val="28"/>
          <w:szCs w:val="28"/>
          <w:rtl/>
        </w:rPr>
        <w:t>(נאסד"ק/</w:t>
      </w:r>
      <w:proofErr w:type="spellStart"/>
      <w:r w:rsidRPr="00B735C0">
        <w:rPr>
          <w:rFonts w:ascii="David" w:hAnsi="David" w:cs="David" w:hint="cs"/>
          <w:color w:val="000000"/>
          <w:sz w:val="28"/>
          <w:szCs w:val="28"/>
          <w:rtl/>
        </w:rPr>
        <w:t>יורונקסט</w:t>
      </w:r>
      <w:proofErr w:type="spellEnd"/>
      <w:r w:rsidRPr="00B735C0">
        <w:rPr>
          <w:rFonts w:ascii="David" w:hAnsi="David" w:cs="David" w:hint="cs"/>
          <w:color w:val="000000"/>
          <w:sz w:val="28"/>
          <w:szCs w:val="28"/>
          <w:rtl/>
        </w:rPr>
        <w:t xml:space="preserve"> בריסל: </w:t>
      </w:r>
      <w:r w:rsidRPr="00B735C0">
        <w:rPr>
          <w:rFonts w:ascii="David" w:hAnsi="David" w:cs="David"/>
          <w:color w:val="000000"/>
          <w:sz w:val="28"/>
          <w:szCs w:val="28"/>
        </w:rPr>
        <w:t>NYXH</w:t>
      </w:r>
      <w:r w:rsidRPr="00B735C0">
        <w:rPr>
          <w:rFonts w:ascii="David" w:hAnsi="David" w:cs="David"/>
          <w:color w:val="000000"/>
          <w:sz w:val="28"/>
          <w:szCs w:val="28"/>
          <w:rtl/>
        </w:rPr>
        <w:t xml:space="preserve">), חברת טכנולוגיות רפואיות המפתחת חלופות טיפול פורצות דרך לדום נשימה בשינה </w:t>
      </w:r>
      <w:r w:rsidRPr="00B735C0">
        <w:rPr>
          <w:rFonts w:ascii="David" w:hAnsi="David" w:cs="David"/>
          <w:color w:val="000000"/>
          <w:sz w:val="28"/>
          <w:szCs w:val="28"/>
        </w:rPr>
        <w:t>(OSA)</w:t>
      </w:r>
      <w:r w:rsidRPr="00B735C0">
        <w:rPr>
          <w:rFonts w:ascii="David" w:hAnsi="David" w:cs="David"/>
          <w:color w:val="000000"/>
          <w:sz w:val="28"/>
          <w:szCs w:val="28"/>
          <w:rtl/>
        </w:rPr>
        <w:t xml:space="preserve"> </w:t>
      </w:r>
      <w:r w:rsidRPr="00B735C0">
        <w:rPr>
          <w:rFonts w:ascii="David" w:hAnsi="David" w:cs="David"/>
          <w:color w:val="000000"/>
          <w:sz w:val="28"/>
          <w:szCs w:val="28"/>
          <w:rtl/>
        </w:rPr>
        <w:t xml:space="preserve">באמצעות </w:t>
      </w:r>
      <w:proofErr w:type="spellStart"/>
      <w:r w:rsidRPr="00B735C0">
        <w:rPr>
          <w:rFonts w:ascii="David" w:hAnsi="David" w:cs="David"/>
          <w:color w:val="000000"/>
          <w:sz w:val="28"/>
          <w:szCs w:val="28"/>
          <w:rtl/>
        </w:rPr>
        <w:t>נוירומודולציה</w:t>
      </w:r>
      <w:proofErr w:type="spellEnd"/>
      <w:r w:rsidRPr="00B735C0">
        <w:rPr>
          <w:rFonts w:ascii="David" w:hAnsi="David" w:cs="David"/>
          <w:color w:val="000000"/>
          <w:sz w:val="28"/>
          <w:szCs w:val="28"/>
          <w:rtl/>
        </w:rPr>
        <w:t>, דיווחה היום על תוצאות כספיות ותפעוליות לרבעון השלישי של 2025.</w:t>
      </w:r>
    </w:p>
    <w:p w14:paraId="09636EFA" w14:textId="77777777" w:rsidR="00B735C0" w:rsidRDefault="00B735C0" w:rsidP="00B735C0">
      <w:pPr>
        <w:spacing w:before="100" w:beforeAutospacing="1" w:after="100" w:afterAutospacing="1"/>
        <w:jc w:val="both"/>
        <w:rPr>
          <w:rFonts w:ascii="David" w:hAnsi="David" w:cs="David"/>
          <w:b/>
          <w:bCs/>
          <w:color w:val="000000"/>
          <w:sz w:val="28"/>
          <w:szCs w:val="28"/>
          <w:rtl/>
        </w:rPr>
      </w:pPr>
      <w:bookmarkStart w:id="5" w:name="_Hlk213990846"/>
      <w:r w:rsidRPr="0073434D">
        <w:rPr>
          <w:rFonts w:ascii="David" w:hAnsi="David" w:cs="David"/>
          <w:b/>
          <w:bCs/>
          <w:color w:val="000000"/>
          <w:sz w:val="28"/>
          <w:szCs w:val="28"/>
        </w:rPr>
        <w:t>REGULATED INFORMATION</w:t>
      </w:r>
    </w:p>
    <w:p w14:paraId="1545A474" w14:textId="77777777" w:rsidR="00B735C0" w:rsidRPr="0073434D" w:rsidRDefault="00B735C0" w:rsidP="00B735C0">
      <w:pPr>
        <w:spacing w:before="100" w:beforeAutospacing="1" w:after="100" w:afterAutospacing="1"/>
        <w:jc w:val="both"/>
        <w:rPr>
          <w:rFonts w:ascii="David" w:hAnsi="David" w:cs="David" w:hint="cs"/>
          <w:b/>
          <w:bCs/>
          <w:color w:val="000000"/>
          <w:sz w:val="28"/>
          <w:szCs w:val="28"/>
          <w:rtl/>
        </w:rPr>
      </w:pPr>
    </w:p>
    <w:p w14:paraId="50A2F107" w14:textId="1C43A425" w:rsidR="0073434D" w:rsidRPr="0073434D" w:rsidRDefault="0073434D" w:rsidP="0073434D">
      <w:pPr>
        <w:bidi w:val="0"/>
        <w:spacing w:before="100" w:beforeAutospacing="1" w:after="100" w:afterAutospacing="1"/>
        <w:jc w:val="center"/>
        <w:rPr>
          <w:rFonts w:ascii="David" w:hAnsi="David" w:cs="David"/>
          <w:color w:val="000000"/>
          <w:sz w:val="32"/>
          <w:szCs w:val="32"/>
        </w:rPr>
      </w:pPr>
      <w:proofErr w:type="spellStart"/>
      <w:r w:rsidRPr="0073434D">
        <w:rPr>
          <w:rFonts w:ascii="David" w:hAnsi="David" w:cs="David"/>
          <w:b/>
          <w:bCs/>
          <w:color w:val="000000"/>
          <w:sz w:val="32"/>
          <w:szCs w:val="32"/>
        </w:rPr>
        <w:t>Nyxoah</w:t>
      </w:r>
      <w:proofErr w:type="spellEnd"/>
      <w:r w:rsidRPr="0073434D">
        <w:rPr>
          <w:rFonts w:ascii="David" w:hAnsi="David" w:cs="David"/>
          <w:b/>
          <w:bCs/>
          <w:color w:val="000000"/>
          <w:sz w:val="32"/>
          <w:szCs w:val="32"/>
        </w:rPr>
        <w:t xml:space="preserve"> Reports Third Quarter 2025 Financial and Operating Results</w:t>
      </w:r>
    </w:p>
    <w:p w14:paraId="160579D4" w14:textId="77777777" w:rsidR="0073434D" w:rsidRPr="0073434D" w:rsidRDefault="0073434D" w:rsidP="0073434D">
      <w:pPr>
        <w:bidi w:val="0"/>
        <w:spacing w:before="100" w:beforeAutospacing="1" w:after="100" w:afterAutospacing="1"/>
        <w:jc w:val="center"/>
        <w:rPr>
          <w:rFonts w:ascii="David" w:hAnsi="David" w:cs="David"/>
          <w:color w:val="000000"/>
          <w:sz w:val="28"/>
          <w:szCs w:val="28"/>
        </w:rPr>
      </w:pPr>
      <w:r w:rsidRPr="0073434D">
        <w:rPr>
          <w:rFonts w:ascii="David" w:hAnsi="David" w:cs="David"/>
          <w:i/>
          <w:iCs/>
          <w:color w:val="000000"/>
          <w:sz w:val="28"/>
          <w:szCs w:val="28"/>
        </w:rPr>
        <w:t xml:space="preserve">US launch off to a strong start. First commercial </w:t>
      </w:r>
      <w:proofErr w:type="spellStart"/>
      <w:r w:rsidRPr="0073434D">
        <w:rPr>
          <w:rFonts w:ascii="David" w:hAnsi="David" w:cs="David"/>
          <w:i/>
          <w:iCs/>
          <w:color w:val="000000"/>
          <w:sz w:val="28"/>
          <w:szCs w:val="28"/>
        </w:rPr>
        <w:t>Genio</w:t>
      </w:r>
      <w:proofErr w:type="spellEnd"/>
      <w:r w:rsidRPr="0073434D">
        <w:rPr>
          <w:rFonts w:ascii="David" w:hAnsi="David" w:cs="David"/>
          <w:i/>
          <w:iCs/>
          <w:color w:val="000000"/>
          <w:sz w:val="28"/>
          <w:szCs w:val="28"/>
        </w:rPr>
        <w:t xml:space="preserve"> implants completed with widespread payer coverage drives initial revenue.</w:t>
      </w:r>
    </w:p>
    <w:p w14:paraId="517768B5" w14:textId="170B2FA1" w:rsidR="0073434D" w:rsidRDefault="0073434D" w:rsidP="0073434D">
      <w:pPr>
        <w:bidi w:val="0"/>
        <w:spacing w:before="100" w:beforeAutospacing="1" w:after="100" w:afterAutospacing="1"/>
        <w:jc w:val="both"/>
        <w:rPr>
          <w:rFonts w:ascii="David" w:hAnsi="David" w:cs="David"/>
          <w:b/>
          <w:bCs/>
          <w:color w:val="000000"/>
          <w:sz w:val="28"/>
          <w:szCs w:val="28"/>
        </w:rPr>
      </w:pPr>
      <w:r w:rsidRPr="0073434D">
        <w:rPr>
          <w:rFonts w:ascii="David" w:hAnsi="David" w:cs="David"/>
          <w:color w:val="000000"/>
          <w:sz w:val="28"/>
          <w:szCs w:val="28"/>
        </w:rPr>
        <w:t>Mont-Saint-Guibert, Belgium – November 13, 2025</w:t>
      </w:r>
      <w:r w:rsidRPr="0073434D">
        <w:rPr>
          <w:rFonts w:ascii="David" w:hAnsi="David" w:cs="David"/>
          <w:b/>
          <w:bCs/>
          <w:color w:val="000000"/>
          <w:sz w:val="28"/>
          <w:szCs w:val="28"/>
        </w:rPr>
        <w:t xml:space="preserve">, </w:t>
      </w:r>
      <w:r w:rsidRPr="0073434D">
        <w:rPr>
          <w:rFonts w:ascii="David" w:hAnsi="David" w:cs="David"/>
          <w:b/>
          <w:bCs/>
          <w:color w:val="000000"/>
          <w:sz w:val="28"/>
          <w:szCs w:val="28"/>
          <w:rtl/>
        </w:rPr>
        <w:t>GLOBE NEWSWIRE</w:t>
      </w:r>
    </w:p>
    <w:p w14:paraId="6B1F7D26" w14:textId="43A95039" w:rsidR="0073434D" w:rsidRPr="0073434D" w:rsidRDefault="0073434D" w:rsidP="0073434D">
      <w:pPr>
        <w:bidi w:val="0"/>
        <w:spacing w:before="100" w:beforeAutospacing="1" w:after="100" w:afterAutospacing="1"/>
        <w:jc w:val="both"/>
        <w:rPr>
          <w:rFonts w:ascii="David" w:hAnsi="David" w:cs="David"/>
          <w:color w:val="000000"/>
          <w:sz w:val="28"/>
          <w:szCs w:val="28"/>
        </w:rPr>
      </w:pPr>
      <w:proofErr w:type="spellStart"/>
      <w:r w:rsidRPr="0073434D">
        <w:rPr>
          <w:rFonts w:ascii="David" w:hAnsi="David" w:cs="David"/>
          <w:b/>
          <w:bCs/>
          <w:color w:val="000000"/>
          <w:sz w:val="28"/>
          <w:szCs w:val="28"/>
        </w:rPr>
        <w:t>Nyxoah</w:t>
      </w:r>
      <w:proofErr w:type="spellEnd"/>
      <w:r w:rsidRPr="0073434D">
        <w:rPr>
          <w:rFonts w:ascii="David" w:hAnsi="David" w:cs="David"/>
          <w:b/>
          <w:bCs/>
          <w:color w:val="000000"/>
          <w:sz w:val="28"/>
          <w:szCs w:val="28"/>
        </w:rPr>
        <w:t xml:space="preserve"> SA (Euronext Brussels/Nasdaq: NYXH)</w:t>
      </w:r>
      <w:r w:rsidRPr="0073434D">
        <w:rPr>
          <w:rFonts w:ascii="David" w:hAnsi="David" w:cs="David"/>
          <w:color w:val="000000"/>
          <w:sz w:val="28"/>
          <w:szCs w:val="28"/>
        </w:rPr>
        <w:t> (“</w:t>
      </w:r>
      <w:proofErr w:type="spellStart"/>
      <w:r w:rsidRPr="0073434D">
        <w:rPr>
          <w:rFonts w:ascii="David" w:hAnsi="David" w:cs="David"/>
          <w:color w:val="000000"/>
          <w:sz w:val="28"/>
          <w:szCs w:val="28"/>
        </w:rPr>
        <w:t>Nyxoah</w:t>
      </w:r>
      <w:proofErr w:type="spellEnd"/>
      <w:r w:rsidRPr="0073434D">
        <w:rPr>
          <w:rFonts w:ascii="David" w:hAnsi="David" w:cs="David"/>
          <w:color w:val="000000"/>
          <w:sz w:val="28"/>
          <w:szCs w:val="28"/>
        </w:rPr>
        <w:t>” or the “Company”), a medical technology company that develops breakthrough treatment alternatives for Obstructive Sleep Apnea (OSA) through neuromodulation, today reported financial and operating results for the third quarter of 2025.</w:t>
      </w:r>
    </w:p>
    <w:bookmarkEnd w:id="5"/>
    <w:p w14:paraId="3211116B" w14:textId="77777777"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b/>
          <w:bCs/>
          <w:color w:val="000000"/>
          <w:sz w:val="28"/>
          <w:szCs w:val="28"/>
        </w:rPr>
        <w:t>Recent Financial and Operating Highlights</w:t>
      </w:r>
    </w:p>
    <w:p w14:paraId="53D5FE07" w14:textId="77777777" w:rsidR="0073434D" w:rsidRPr="0073434D" w:rsidRDefault="0073434D" w:rsidP="0073434D">
      <w:pPr>
        <w:numPr>
          <w:ilvl w:val="0"/>
          <w:numId w:val="88"/>
        </w:num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t>Completed the first commercial implants of U.S. patients, and generated first U.S. revenue as early as September</w:t>
      </w:r>
    </w:p>
    <w:p w14:paraId="537F294F" w14:textId="77777777" w:rsidR="0073434D" w:rsidRPr="0073434D" w:rsidRDefault="0073434D" w:rsidP="0073434D">
      <w:pPr>
        <w:numPr>
          <w:ilvl w:val="0"/>
          <w:numId w:val="88"/>
        </w:num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t>Reimbursement secured with Medicare and private payers, achieving 100% approval rate on prior authorization submissions from United Healthcare, Blue Cross Blue Shield, and Anthem. In all these approvals, the CPT code 64568 was accepted</w:t>
      </w:r>
    </w:p>
    <w:p w14:paraId="5060A293" w14:textId="77777777" w:rsidR="0073434D" w:rsidRPr="0073434D" w:rsidRDefault="0073434D" w:rsidP="0073434D">
      <w:pPr>
        <w:numPr>
          <w:ilvl w:val="0"/>
          <w:numId w:val="88"/>
        </w:num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t>Revenue for the third quarter of 2025 was €2.0 million, representing 56% year over year growth, compared to €1.3 million in the third quarter of 2024</w:t>
      </w:r>
    </w:p>
    <w:p w14:paraId="2649CA4E" w14:textId="77777777" w:rsidR="0073434D" w:rsidRPr="0073434D" w:rsidRDefault="0073434D" w:rsidP="0073434D">
      <w:pPr>
        <w:numPr>
          <w:ilvl w:val="0"/>
          <w:numId w:val="88"/>
        </w:num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t>Cash, cash equivalents and financial assets were €22.5 million on September 30, 2025, compared to €43.0 million at the end of June 30, 2025.</w:t>
      </w:r>
    </w:p>
    <w:p w14:paraId="77E2D133" w14:textId="77777777"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t xml:space="preserve">“The first </w:t>
      </w:r>
      <w:proofErr w:type="gramStart"/>
      <w:r w:rsidRPr="0073434D">
        <w:rPr>
          <w:rFonts w:ascii="David" w:hAnsi="David" w:cs="David"/>
          <w:color w:val="000000"/>
          <w:sz w:val="28"/>
          <w:szCs w:val="28"/>
        </w:rPr>
        <w:t>weeks</w:t>
      </w:r>
      <w:proofErr w:type="gramEnd"/>
      <w:r w:rsidRPr="0073434D">
        <w:rPr>
          <w:rFonts w:ascii="David" w:hAnsi="David" w:cs="David"/>
          <w:color w:val="000000"/>
          <w:sz w:val="28"/>
          <w:szCs w:val="28"/>
        </w:rPr>
        <w:t xml:space="preserve"> post FDA approval </w:t>
      </w:r>
      <w:proofErr w:type="gramStart"/>
      <w:r w:rsidRPr="0073434D">
        <w:rPr>
          <w:rFonts w:ascii="David" w:hAnsi="David" w:cs="David"/>
          <w:color w:val="000000"/>
          <w:sz w:val="28"/>
          <w:szCs w:val="28"/>
        </w:rPr>
        <w:t>have</w:t>
      </w:r>
      <w:proofErr w:type="gramEnd"/>
      <w:r w:rsidRPr="0073434D">
        <w:rPr>
          <w:rFonts w:ascii="David" w:hAnsi="David" w:cs="David"/>
          <w:color w:val="000000"/>
          <w:sz w:val="28"/>
          <w:szCs w:val="28"/>
        </w:rPr>
        <w:t xml:space="preserve"> been a huge success. We already completed the first implants in September. The response from physicians has been overwhelmingly positive, driven by the excitement of finally having real optionality in hypoglossal nerve stimulation for OSA patients,” commented Olivier Taelman, </w:t>
      </w:r>
      <w:proofErr w:type="spellStart"/>
      <w:r w:rsidRPr="0073434D">
        <w:rPr>
          <w:rFonts w:ascii="David" w:hAnsi="David" w:cs="David"/>
          <w:color w:val="000000"/>
          <w:sz w:val="28"/>
          <w:szCs w:val="28"/>
        </w:rPr>
        <w:t>Nyxoah's</w:t>
      </w:r>
      <w:proofErr w:type="spellEnd"/>
      <w:r w:rsidRPr="0073434D">
        <w:rPr>
          <w:rFonts w:ascii="David" w:hAnsi="David" w:cs="David"/>
          <w:color w:val="000000"/>
          <w:sz w:val="28"/>
          <w:szCs w:val="28"/>
        </w:rPr>
        <w:t xml:space="preserve"> Chief Executive Officer. “We also secured reimbursement and generate the first U.S. revenue within the first month post FDA approval. The financing transaction announced today will support our sustained growth in the U.S. market. The momentum and enthusiasm couldn’t be greater.”</w:t>
      </w:r>
    </w:p>
    <w:p w14:paraId="53807A93" w14:textId="77777777"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b/>
          <w:bCs/>
          <w:color w:val="000000"/>
          <w:sz w:val="28"/>
          <w:szCs w:val="28"/>
        </w:rPr>
        <w:lastRenderedPageBreak/>
        <w:t>Strong Initial U.S. Commercial Launch</w:t>
      </w:r>
    </w:p>
    <w:p w14:paraId="02EB4CB9" w14:textId="77777777"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t xml:space="preserve">The Company is executing its focused two-pronged launch strategy, targeting high-volume hypoglossal nerve stimulation implanting centers while developing strong referral networks with sleep physicians. The first commercial </w:t>
      </w:r>
      <w:proofErr w:type="spellStart"/>
      <w:r w:rsidRPr="0073434D">
        <w:rPr>
          <w:rFonts w:ascii="David" w:hAnsi="David" w:cs="David"/>
          <w:color w:val="000000"/>
          <w:sz w:val="28"/>
          <w:szCs w:val="28"/>
        </w:rPr>
        <w:t>Genio</w:t>
      </w:r>
      <w:proofErr w:type="spellEnd"/>
      <w:r w:rsidRPr="0073434D">
        <w:rPr>
          <w:rFonts w:ascii="David" w:hAnsi="David" w:cs="David"/>
          <w:color w:val="000000"/>
          <w:sz w:val="28"/>
          <w:szCs w:val="28"/>
        </w:rPr>
        <w:t xml:space="preserve"> devices were implanted at Townsend Memorial Health System in Houston, Texas, where the surgeon completed five procedures in the first week.</w:t>
      </w:r>
    </w:p>
    <w:p w14:paraId="17EAF73A" w14:textId="77777777"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t xml:space="preserve">As of October 31, the Company has trained 111 surgeons on the </w:t>
      </w:r>
      <w:proofErr w:type="spellStart"/>
      <w:r w:rsidRPr="0073434D">
        <w:rPr>
          <w:rFonts w:ascii="David" w:hAnsi="David" w:cs="David"/>
          <w:color w:val="000000"/>
          <w:sz w:val="28"/>
          <w:szCs w:val="28"/>
        </w:rPr>
        <w:t>Genio</w:t>
      </w:r>
      <w:proofErr w:type="spellEnd"/>
      <w:r w:rsidRPr="0073434D">
        <w:rPr>
          <w:rFonts w:ascii="David" w:hAnsi="David" w:cs="David"/>
          <w:color w:val="000000"/>
          <w:sz w:val="28"/>
          <w:szCs w:val="28"/>
        </w:rPr>
        <w:t xml:space="preserve"> system, and 9 accounts implanted </w:t>
      </w:r>
      <w:proofErr w:type="spellStart"/>
      <w:r w:rsidRPr="0073434D">
        <w:rPr>
          <w:rFonts w:ascii="David" w:hAnsi="David" w:cs="David"/>
          <w:color w:val="000000"/>
          <w:sz w:val="28"/>
          <w:szCs w:val="28"/>
        </w:rPr>
        <w:t>Genio</w:t>
      </w:r>
      <w:proofErr w:type="spellEnd"/>
      <w:r w:rsidRPr="0073434D">
        <w:rPr>
          <w:rFonts w:ascii="David" w:hAnsi="David" w:cs="David"/>
          <w:color w:val="000000"/>
          <w:sz w:val="28"/>
          <w:szCs w:val="28"/>
        </w:rPr>
        <w:t xml:space="preserve">. The Company has completed 102 value analysis committee submissions, with 35 approvals received, and has submitted 63 prior authorizations through their </w:t>
      </w:r>
      <w:proofErr w:type="spellStart"/>
      <w:r w:rsidRPr="0073434D">
        <w:rPr>
          <w:rFonts w:ascii="David" w:hAnsi="David" w:cs="David"/>
          <w:color w:val="000000"/>
          <w:sz w:val="28"/>
          <w:szCs w:val="28"/>
        </w:rPr>
        <w:t>Genio</w:t>
      </w:r>
      <w:proofErr w:type="spellEnd"/>
      <w:r w:rsidRPr="0073434D">
        <w:rPr>
          <w:rFonts w:ascii="David" w:hAnsi="David" w:cs="David"/>
          <w:color w:val="000000"/>
          <w:sz w:val="28"/>
          <w:szCs w:val="28"/>
        </w:rPr>
        <w:t xml:space="preserve"> Access Program (GAP), of which 21 approvals have been received. These metrics reflect the strong early traction the Company is seeing in the market and demonstrate the execution of its focused launch strategy.</w:t>
      </w:r>
    </w:p>
    <w:p w14:paraId="2C1B3162" w14:textId="77777777"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b/>
          <w:bCs/>
          <w:color w:val="000000"/>
          <w:sz w:val="28"/>
          <w:szCs w:val="28"/>
        </w:rPr>
        <w:t>Reimbursement Progress</w:t>
      </w:r>
    </w:p>
    <w:p w14:paraId="2A4247C2" w14:textId="77777777"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t xml:space="preserve">The Company continues to make significant progress towards widespread reimbursement coverage with major payor policy updates and strategic partnerships that streamline patient access to the </w:t>
      </w:r>
      <w:proofErr w:type="spellStart"/>
      <w:r w:rsidRPr="0073434D">
        <w:rPr>
          <w:rFonts w:ascii="David" w:hAnsi="David" w:cs="David"/>
          <w:color w:val="000000"/>
          <w:sz w:val="28"/>
          <w:szCs w:val="28"/>
        </w:rPr>
        <w:t>Genio</w:t>
      </w:r>
      <w:proofErr w:type="spellEnd"/>
      <w:r w:rsidRPr="0073434D">
        <w:rPr>
          <w:rFonts w:ascii="David" w:hAnsi="David" w:cs="David"/>
          <w:color w:val="000000"/>
          <w:sz w:val="28"/>
          <w:szCs w:val="28"/>
        </w:rPr>
        <w:t xml:space="preserve"> system. Health Care Service Corporation (HCSC) operates Blue Cross Blue Shield plans in Illinois, Texas, Oklahoma, New Mexico, and Montana. HCSC and Blue Cross Blue Shield of Michigan have updated their hypoglossal nerve stimulation medical policies to include CPT Code 64568 as a referenced procedure code. While coverage for hypoglossal nerve stimulation was already established, the inclusion of this code provides additional clarity for providers and payors, which the Company expects will help reduce administrative barriers and streamline patient access. HCSC and BCBS of Michigan represent over 26 million members across six states.</w:t>
      </w:r>
    </w:p>
    <w:p w14:paraId="4BC79812" w14:textId="77777777"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b/>
          <w:bCs/>
          <w:color w:val="000000"/>
          <w:sz w:val="28"/>
          <w:szCs w:val="28"/>
        </w:rPr>
        <w:t>CONSOLIDATED STATEMENTS OF LOSS AND OTHER COMPREHENSIVE LOSS (unaudited)</w:t>
      </w:r>
      <w:r w:rsidRPr="0073434D">
        <w:rPr>
          <w:rFonts w:ascii="David" w:hAnsi="David" w:cs="David"/>
          <w:color w:val="000000"/>
          <w:sz w:val="28"/>
          <w:szCs w:val="28"/>
        </w:rPr>
        <w:br/>
      </w:r>
      <w:r w:rsidRPr="0073434D">
        <w:rPr>
          <w:rFonts w:ascii="David" w:hAnsi="David" w:cs="David"/>
          <w:b/>
          <w:bCs/>
          <w:color w:val="000000"/>
          <w:sz w:val="28"/>
          <w:szCs w:val="28"/>
        </w:rPr>
        <w:t>(in thousands)</w:t>
      </w:r>
    </w:p>
    <w:tbl>
      <w:tblPr>
        <w:tblW w:w="9199" w:type="dxa"/>
        <w:tblCellMar>
          <w:top w:w="15" w:type="dxa"/>
          <w:left w:w="15" w:type="dxa"/>
          <w:bottom w:w="15" w:type="dxa"/>
          <w:right w:w="15" w:type="dxa"/>
        </w:tblCellMar>
        <w:tblLook w:val="04A0" w:firstRow="1" w:lastRow="0" w:firstColumn="1" w:lastColumn="0" w:noHBand="0" w:noVBand="1"/>
      </w:tblPr>
      <w:tblGrid>
        <w:gridCol w:w="5172"/>
        <w:gridCol w:w="93"/>
        <w:gridCol w:w="92"/>
        <w:gridCol w:w="891"/>
        <w:gridCol w:w="92"/>
        <w:gridCol w:w="892"/>
        <w:gridCol w:w="92"/>
        <w:gridCol w:w="891"/>
        <w:gridCol w:w="92"/>
        <w:gridCol w:w="892"/>
      </w:tblGrid>
      <w:tr w:rsidR="0073434D" w:rsidRPr="0073434D" w14:paraId="4E4C85A0" w14:textId="77777777">
        <w:tc>
          <w:tcPr>
            <w:tcW w:w="5468" w:type="dxa"/>
            <w:vAlign w:val="bottom"/>
            <w:hideMark/>
          </w:tcPr>
          <w:p w14:paraId="4321C60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r w:rsidRPr="0073434D">
              <w:rPr>
                <w:rFonts w:ascii="David" w:hAnsi="David" w:cs="David"/>
                <w:sz w:val="28"/>
                <w:szCs w:val="28"/>
              </w:rPr>
              <w:br/>
            </w:r>
            <w:r w:rsidRPr="0073434D">
              <w:rPr>
                <w:rFonts w:ascii="David" w:hAnsi="David" w:cs="David"/>
                <w:sz w:val="28"/>
                <w:szCs w:val="28"/>
              </w:rPr>
              <w:br/>
            </w:r>
            <w:r w:rsidRPr="0073434D">
              <w:rPr>
                <w:rFonts w:ascii="David" w:hAnsi="David" w:cs="David"/>
                <w:sz w:val="28"/>
                <w:szCs w:val="28"/>
              </w:rPr>
              <w:br/>
              <w:t> </w:t>
            </w:r>
          </w:p>
        </w:tc>
        <w:tc>
          <w:tcPr>
            <w:tcW w:w="21" w:type="dxa"/>
            <w:vAlign w:val="bottom"/>
            <w:hideMark/>
          </w:tcPr>
          <w:p w14:paraId="01B6CC1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bottom"/>
            <w:hideMark/>
          </w:tcPr>
          <w:p w14:paraId="5CBF73A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1834" w:type="dxa"/>
            <w:gridSpan w:val="3"/>
            <w:vAlign w:val="bottom"/>
            <w:hideMark/>
          </w:tcPr>
          <w:p w14:paraId="37C3BDF5"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For the three months ended September 30</w:t>
            </w:r>
          </w:p>
        </w:tc>
        <w:tc>
          <w:tcPr>
            <w:tcW w:w="21" w:type="dxa"/>
            <w:vAlign w:val="bottom"/>
            <w:hideMark/>
          </w:tcPr>
          <w:p w14:paraId="6B5B420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1834" w:type="dxa"/>
            <w:gridSpan w:val="3"/>
            <w:vAlign w:val="bottom"/>
            <w:hideMark/>
          </w:tcPr>
          <w:p w14:paraId="2700370C"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For the nine months ended September 30</w:t>
            </w:r>
          </w:p>
        </w:tc>
      </w:tr>
      <w:tr w:rsidR="0073434D" w:rsidRPr="0073434D" w14:paraId="1F66D3F8" w14:textId="77777777">
        <w:tc>
          <w:tcPr>
            <w:tcW w:w="5468" w:type="dxa"/>
            <w:vAlign w:val="center"/>
            <w:hideMark/>
          </w:tcPr>
          <w:p w14:paraId="68AF22C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21D68D2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3EF1EEF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center"/>
            <w:hideMark/>
          </w:tcPr>
          <w:p w14:paraId="6269D68B"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2025</w:t>
            </w:r>
          </w:p>
        </w:tc>
        <w:tc>
          <w:tcPr>
            <w:tcW w:w="21" w:type="dxa"/>
            <w:vAlign w:val="center"/>
            <w:hideMark/>
          </w:tcPr>
          <w:p w14:paraId="115877A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center"/>
            <w:hideMark/>
          </w:tcPr>
          <w:p w14:paraId="09F2FD64"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2024</w:t>
            </w:r>
          </w:p>
        </w:tc>
        <w:tc>
          <w:tcPr>
            <w:tcW w:w="21" w:type="dxa"/>
            <w:vAlign w:val="center"/>
            <w:hideMark/>
          </w:tcPr>
          <w:p w14:paraId="49EF8FE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center"/>
            <w:hideMark/>
          </w:tcPr>
          <w:p w14:paraId="066FD7E7"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2025</w:t>
            </w:r>
          </w:p>
        </w:tc>
        <w:tc>
          <w:tcPr>
            <w:tcW w:w="21" w:type="dxa"/>
            <w:vAlign w:val="center"/>
            <w:hideMark/>
          </w:tcPr>
          <w:p w14:paraId="0BBA63A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center"/>
            <w:hideMark/>
          </w:tcPr>
          <w:p w14:paraId="088CDF80"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2024</w:t>
            </w:r>
          </w:p>
        </w:tc>
      </w:tr>
      <w:tr w:rsidR="0073434D" w:rsidRPr="0073434D" w14:paraId="3764FE77" w14:textId="77777777">
        <w:tc>
          <w:tcPr>
            <w:tcW w:w="5468" w:type="dxa"/>
            <w:vAlign w:val="center"/>
            <w:hideMark/>
          </w:tcPr>
          <w:p w14:paraId="46DE99D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Revenue</w:t>
            </w:r>
          </w:p>
        </w:tc>
        <w:tc>
          <w:tcPr>
            <w:tcW w:w="21" w:type="dxa"/>
            <w:vAlign w:val="center"/>
            <w:hideMark/>
          </w:tcPr>
          <w:p w14:paraId="64C101F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5B75E67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5516DC0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1 972</w:t>
            </w:r>
          </w:p>
        </w:tc>
        <w:tc>
          <w:tcPr>
            <w:tcW w:w="21" w:type="dxa"/>
            <w:vAlign w:val="center"/>
            <w:hideMark/>
          </w:tcPr>
          <w:p w14:paraId="690434B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6166219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1 266</w:t>
            </w:r>
          </w:p>
        </w:tc>
        <w:tc>
          <w:tcPr>
            <w:tcW w:w="21" w:type="dxa"/>
            <w:vAlign w:val="center"/>
            <w:hideMark/>
          </w:tcPr>
          <w:p w14:paraId="2623C65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457DF18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4 376</w:t>
            </w:r>
          </w:p>
        </w:tc>
        <w:tc>
          <w:tcPr>
            <w:tcW w:w="21" w:type="dxa"/>
            <w:vAlign w:val="center"/>
            <w:hideMark/>
          </w:tcPr>
          <w:p w14:paraId="0BA842D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511896F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3 258</w:t>
            </w:r>
          </w:p>
        </w:tc>
      </w:tr>
      <w:tr w:rsidR="0073434D" w:rsidRPr="0073434D" w14:paraId="0A588059" w14:textId="77777777">
        <w:tc>
          <w:tcPr>
            <w:tcW w:w="5468" w:type="dxa"/>
            <w:vAlign w:val="center"/>
            <w:hideMark/>
          </w:tcPr>
          <w:p w14:paraId="3882E88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Cost of goods sold</w:t>
            </w:r>
          </w:p>
        </w:tc>
        <w:tc>
          <w:tcPr>
            <w:tcW w:w="21" w:type="dxa"/>
            <w:vAlign w:val="bottom"/>
            <w:hideMark/>
          </w:tcPr>
          <w:p w14:paraId="11207AD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bottom"/>
            <w:hideMark/>
          </w:tcPr>
          <w:p w14:paraId="26142E4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6F3FC316" w14:textId="77777777" w:rsidR="0073434D" w:rsidRPr="0073434D" w:rsidRDefault="0073434D" w:rsidP="0073434D">
            <w:pPr>
              <w:bidi w:val="0"/>
              <w:jc w:val="both"/>
              <w:rPr>
                <w:rFonts w:ascii="David" w:hAnsi="David" w:cs="David"/>
                <w:sz w:val="28"/>
                <w:szCs w:val="28"/>
              </w:rPr>
            </w:pPr>
            <w:proofErr w:type="gramStart"/>
            <w:r w:rsidRPr="0073434D">
              <w:rPr>
                <w:rFonts w:ascii="David" w:hAnsi="David" w:cs="David"/>
                <w:sz w:val="28"/>
                <w:szCs w:val="28"/>
              </w:rPr>
              <w:t>( 779</w:t>
            </w:r>
            <w:proofErr w:type="gramEnd"/>
            <w:r w:rsidRPr="0073434D">
              <w:rPr>
                <w:rFonts w:ascii="David" w:hAnsi="David" w:cs="David"/>
                <w:sz w:val="28"/>
                <w:szCs w:val="28"/>
              </w:rPr>
              <w:t>)</w:t>
            </w:r>
          </w:p>
        </w:tc>
        <w:tc>
          <w:tcPr>
            <w:tcW w:w="21" w:type="dxa"/>
            <w:vAlign w:val="bottom"/>
            <w:hideMark/>
          </w:tcPr>
          <w:p w14:paraId="7C2C21C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4418694B" w14:textId="77777777" w:rsidR="0073434D" w:rsidRPr="0073434D" w:rsidRDefault="0073434D" w:rsidP="0073434D">
            <w:pPr>
              <w:bidi w:val="0"/>
              <w:jc w:val="both"/>
              <w:rPr>
                <w:rFonts w:ascii="David" w:hAnsi="David" w:cs="David"/>
                <w:sz w:val="28"/>
                <w:szCs w:val="28"/>
              </w:rPr>
            </w:pPr>
            <w:proofErr w:type="gramStart"/>
            <w:r w:rsidRPr="0073434D">
              <w:rPr>
                <w:rFonts w:ascii="David" w:hAnsi="David" w:cs="David"/>
                <w:sz w:val="28"/>
                <w:szCs w:val="28"/>
              </w:rPr>
              <w:t>( 482</w:t>
            </w:r>
            <w:proofErr w:type="gramEnd"/>
            <w:r w:rsidRPr="0073434D">
              <w:rPr>
                <w:rFonts w:ascii="David" w:hAnsi="David" w:cs="David"/>
                <w:sz w:val="28"/>
                <w:szCs w:val="28"/>
              </w:rPr>
              <w:t>)</w:t>
            </w:r>
          </w:p>
        </w:tc>
        <w:tc>
          <w:tcPr>
            <w:tcW w:w="21" w:type="dxa"/>
            <w:vAlign w:val="bottom"/>
            <w:hideMark/>
          </w:tcPr>
          <w:p w14:paraId="778C3D4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5A17E79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(1 675)</w:t>
            </w:r>
          </w:p>
        </w:tc>
        <w:tc>
          <w:tcPr>
            <w:tcW w:w="21" w:type="dxa"/>
            <w:vAlign w:val="bottom"/>
            <w:hideMark/>
          </w:tcPr>
          <w:p w14:paraId="621C968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7DC85B0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(1 217)</w:t>
            </w:r>
          </w:p>
        </w:tc>
      </w:tr>
      <w:tr w:rsidR="0073434D" w:rsidRPr="0073434D" w14:paraId="5084E04D" w14:textId="77777777">
        <w:tc>
          <w:tcPr>
            <w:tcW w:w="5468" w:type="dxa"/>
            <w:vAlign w:val="center"/>
            <w:hideMark/>
          </w:tcPr>
          <w:p w14:paraId="00408C5C"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Gross profit</w:t>
            </w:r>
          </w:p>
        </w:tc>
        <w:tc>
          <w:tcPr>
            <w:tcW w:w="21" w:type="dxa"/>
            <w:vAlign w:val="center"/>
            <w:hideMark/>
          </w:tcPr>
          <w:p w14:paraId="4755577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3009A3B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7CD959EC"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€ 1 193</w:t>
            </w:r>
          </w:p>
        </w:tc>
        <w:tc>
          <w:tcPr>
            <w:tcW w:w="21" w:type="dxa"/>
            <w:vAlign w:val="center"/>
            <w:hideMark/>
          </w:tcPr>
          <w:p w14:paraId="395B9B6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0A65DB8C"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€ 784</w:t>
            </w:r>
          </w:p>
        </w:tc>
        <w:tc>
          <w:tcPr>
            <w:tcW w:w="21" w:type="dxa"/>
            <w:vAlign w:val="center"/>
            <w:hideMark/>
          </w:tcPr>
          <w:p w14:paraId="00A4398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373F4483"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€ 2 701</w:t>
            </w:r>
          </w:p>
        </w:tc>
        <w:tc>
          <w:tcPr>
            <w:tcW w:w="21" w:type="dxa"/>
            <w:vAlign w:val="center"/>
            <w:hideMark/>
          </w:tcPr>
          <w:p w14:paraId="11341AF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16FBAF68"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€ 2 041</w:t>
            </w:r>
          </w:p>
        </w:tc>
      </w:tr>
      <w:tr w:rsidR="0073434D" w:rsidRPr="0073434D" w14:paraId="2EC32052" w14:textId="77777777">
        <w:tc>
          <w:tcPr>
            <w:tcW w:w="5468" w:type="dxa"/>
            <w:vAlign w:val="center"/>
            <w:hideMark/>
          </w:tcPr>
          <w:p w14:paraId="149DDAA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Research and Development Expense</w:t>
            </w:r>
          </w:p>
        </w:tc>
        <w:tc>
          <w:tcPr>
            <w:tcW w:w="21" w:type="dxa"/>
            <w:vAlign w:val="bottom"/>
            <w:hideMark/>
          </w:tcPr>
          <w:p w14:paraId="06DA8CC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bottom"/>
            <w:hideMark/>
          </w:tcPr>
          <w:p w14:paraId="095803D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10981C8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(12 911)</w:t>
            </w:r>
          </w:p>
        </w:tc>
        <w:tc>
          <w:tcPr>
            <w:tcW w:w="21" w:type="dxa"/>
            <w:vAlign w:val="bottom"/>
            <w:hideMark/>
          </w:tcPr>
          <w:p w14:paraId="368A730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786CB30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(7 902)</w:t>
            </w:r>
          </w:p>
        </w:tc>
        <w:tc>
          <w:tcPr>
            <w:tcW w:w="21" w:type="dxa"/>
            <w:vAlign w:val="bottom"/>
            <w:hideMark/>
          </w:tcPr>
          <w:p w14:paraId="7D1D16A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5FFB732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(31 959)</w:t>
            </w:r>
          </w:p>
        </w:tc>
        <w:tc>
          <w:tcPr>
            <w:tcW w:w="21" w:type="dxa"/>
            <w:vAlign w:val="bottom"/>
            <w:hideMark/>
          </w:tcPr>
          <w:p w14:paraId="4C7DF26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16C8C1E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(22 573)</w:t>
            </w:r>
          </w:p>
        </w:tc>
      </w:tr>
      <w:tr w:rsidR="0073434D" w:rsidRPr="0073434D" w14:paraId="0E657A5C" w14:textId="77777777">
        <w:tc>
          <w:tcPr>
            <w:tcW w:w="5468" w:type="dxa"/>
            <w:vAlign w:val="center"/>
            <w:hideMark/>
          </w:tcPr>
          <w:p w14:paraId="0EBBB12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Selling, General and Administrative Expense</w:t>
            </w:r>
          </w:p>
        </w:tc>
        <w:tc>
          <w:tcPr>
            <w:tcW w:w="21" w:type="dxa"/>
            <w:vAlign w:val="center"/>
            <w:hideMark/>
          </w:tcPr>
          <w:p w14:paraId="5186C91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3ADDD84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6BBF73A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(12 702)</w:t>
            </w:r>
          </w:p>
        </w:tc>
        <w:tc>
          <w:tcPr>
            <w:tcW w:w="21" w:type="dxa"/>
            <w:vAlign w:val="center"/>
            <w:hideMark/>
          </w:tcPr>
          <w:p w14:paraId="2AC5000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629DBF2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(8 042)</w:t>
            </w:r>
          </w:p>
        </w:tc>
        <w:tc>
          <w:tcPr>
            <w:tcW w:w="21" w:type="dxa"/>
            <w:vAlign w:val="center"/>
            <w:hideMark/>
          </w:tcPr>
          <w:p w14:paraId="58BB8CD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2E16109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(35 765)</w:t>
            </w:r>
          </w:p>
        </w:tc>
        <w:tc>
          <w:tcPr>
            <w:tcW w:w="21" w:type="dxa"/>
            <w:vAlign w:val="center"/>
            <w:hideMark/>
          </w:tcPr>
          <w:p w14:paraId="1F87EC9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3C8D28D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(20 396)</w:t>
            </w:r>
          </w:p>
        </w:tc>
      </w:tr>
      <w:tr w:rsidR="0073434D" w:rsidRPr="0073434D" w14:paraId="08CED655" w14:textId="77777777">
        <w:tc>
          <w:tcPr>
            <w:tcW w:w="5468" w:type="dxa"/>
            <w:vAlign w:val="center"/>
            <w:hideMark/>
          </w:tcPr>
          <w:p w14:paraId="6613C74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Other income/(expense)</w:t>
            </w:r>
          </w:p>
        </w:tc>
        <w:tc>
          <w:tcPr>
            <w:tcW w:w="21" w:type="dxa"/>
            <w:vAlign w:val="center"/>
            <w:hideMark/>
          </w:tcPr>
          <w:p w14:paraId="1FCFEC6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06AD9C9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4D5E016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51</w:t>
            </w:r>
          </w:p>
        </w:tc>
        <w:tc>
          <w:tcPr>
            <w:tcW w:w="21" w:type="dxa"/>
            <w:vAlign w:val="center"/>
            <w:hideMark/>
          </w:tcPr>
          <w:p w14:paraId="2A68F2D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1738BF7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180</w:t>
            </w:r>
          </w:p>
        </w:tc>
        <w:tc>
          <w:tcPr>
            <w:tcW w:w="21" w:type="dxa"/>
            <w:vAlign w:val="center"/>
            <w:hideMark/>
          </w:tcPr>
          <w:p w14:paraId="77168CF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372A3A1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166</w:t>
            </w:r>
          </w:p>
        </w:tc>
        <w:tc>
          <w:tcPr>
            <w:tcW w:w="21" w:type="dxa"/>
            <w:vAlign w:val="center"/>
            <w:hideMark/>
          </w:tcPr>
          <w:p w14:paraId="6A0463D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4577323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430</w:t>
            </w:r>
          </w:p>
        </w:tc>
      </w:tr>
      <w:tr w:rsidR="0073434D" w:rsidRPr="0073434D" w14:paraId="4A68D24A" w14:textId="77777777">
        <w:tc>
          <w:tcPr>
            <w:tcW w:w="5468" w:type="dxa"/>
            <w:vAlign w:val="center"/>
            <w:hideMark/>
          </w:tcPr>
          <w:p w14:paraId="020126A4"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Operating loss for the period</w:t>
            </w:r>
          </w:p>
        </w:tc>
        <w:tc>
          <w:tcPr>
            <w:tcW w:w="21" w:type="dxa"/>
            <w:vAlign w:val="bottom"/>
            <w:hideMark/>
          </w:tcPr>
          <w:p w14:paraId="0134180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bottom"/>
            <w:hideMark/>
          </w:tcPr>
          <w:p w14:paraId="468B869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71B70D7D"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(24 369)</w:t>
            </w:r>
          </w:p>
        </w:tc>
        <w:tc>
          <w:tcPr>
            <w:tcW w:w="21" w:type="dxa"/>
            <w:vAlign w:val="bottom"/>
            <w:hideMark/>
          </w:tcPr>
          <w:p w14:paraId="168D5BD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48080784"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(14 980)</w:t>
            </w:r>
          </w:p>
        </w:tc>
        <w:tc>
          <w:tcPr>
            <w:tcW w:w="21" w:type="dxa"/>
            <w:vAlign w:val="bottom"/>
            <w:hideMark/>
          </w:tcPr>
          <w:p w14:paraId="77151B5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7FC6778C"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(64 857)</w:t>
            </w:r>
          </w:p>
        </w:tc>
        <w:tc>
          <w:tcPr>
            <w:tcW w:w="21" w:type="dxa"/>
            <w:vAlign w:val="bottom"/>
            <w:hideMark/>
          </w:tcPr>
          <w:p w14:paraId="7BE536C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23749445"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(40 498)</w:t>
            </w:r>
          </w:p>
        </w:tc>
      </w:tr>
      <w:tr w:rsidR="0073434D" w:rsidRPr="0073434D" w14:paraId="43E48FF7" w14:textId="77777777">
        <w:tc>
          <w:tcPr>
            <w:tcW w:w="5468" w:type="dxa"/>
            <w:vAlign w:val="center"/>
            <w:hideMark/>
          </w:tcPr>
          <w:p w14:paraId="325835B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Financial income</w:t>
            </w:r>
          </w:p>
        </w:tc>
        <w:tc>
          <w:tcPr>
            <w:tcW w:w="21" w:type="dxa"/>
            <w:vAlign w:val="center"/>
            <w:hideMark/>
          </w:tcPr>
          <w:p w14:paraId="7D11058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110E867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7548EBC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1 082</w:t>
            </w:r>
          </w:p>
        </w:tc>
        <w:tc>
          <w:tcPr>
            <w:tcW w:w="21" w:type="dxa"/>
            <w:vAlign w:val="center"/>
            <w:hideMark/>
          </w:tcPr>
          <w:p w14:paraId="098A10C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10B17F7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1 138</w:t>
            </w:r>
          </w:p>
        </w:tc>
        <w:tc>
          <w:tcPr>
            <w:tcW w:w="21" w:type="dxa"/>
            <w:vAlign w:val="center"/>
            <w:hideMark/>
          </w:tcPr>
          <w:p w14:paraId="04742A1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7780564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6 561</w:t>
            </w:r>
          </w:p>
        </w:tc>
        <w:tc>
          <w:tcPr>
            <w:tcW w:w="21" w:type="dxa"/>
            <w:vAlign w:val="center"/>
            <w:hideMark/>
          </w:tcPr>
          <w:p w14:paraId="1179CC8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08A8843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4 615</w:t>
            </w:r>
          </w:p>
        </w:tc>
      </w:tr>
      <w:tr w:rsidR="0073434D" w:rsidRPr="0073434D" w14:paraId="76BE5A34" w14:textId="77777777">
        <w:tc>
          <w:tcPr>
            <w:tcW w:w="5468" w:type="dxa"/>
            <w:vAlign w:val="center"/>
            <w:hideMark/>
          </w:tcPr>
          <w:p w14:paraId="3273BEB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Financial expense</w:t>
            </w:r>
          </w:p>
        </w:tc>
        <w:tc>
          <w:tcPr>
            <w:tcW w:w="21" w:type="dxa"/>
            <w:vAlign w:val="bottom"/>
            <w:hideMark/>
          </w:tcPr>
          <w:p w14:paraId="1D69217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bottom"/>
            <w:hideMark/>
          </w:tcPr>
          <w:p w14:paraId="6536A78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7CC5CE31" w14:textId="77777777" w:rsidR="0073434D" w:rsidRPr="0073434D" w:rsidRDefault="0073434D" w:rsidP="0073434D">
            <w:pPr>
              <w:bidi w:val="0"/>
              <w:jc w:val="both"/>
              <w:rPr>
                <w:rFonts w:ascii="David" w:hAnsi="David" w:cs="David"/>
                <w:sz w:val="28"/>
                <w:szCs w:val="28"/>
              </w:rPr>
            </w:pPr>
            <w:proofErr w:type="gramStart"/>
            <w:r w:rsidRPr="0073434D">
              <w:rPr>
                <w:rFonts w:ascii="David" w:hAnsi="David" w:cs="David"/>
                <w:sz w:val="28"/>
                <w:szCs w:val="28"/>
              </w:rPr>
              <w:t>( 583</w:t>
            </w:r>
            <w:proofErr w:type="gramEnd"/>
            <w:r w:rsidRPr="0073434D">
              <w:rPr>
                <w:rFonts w:ascii="David" w:hAnsi="David" w:cs="David"/>
                <w:sz w:val="28"/>
                <w:szCs w:val="28"/>
              </w:rPr>
              <w:t>)</w:t>
            </w:r>
          </w:p>
        </w:tc>
        <w:tc>
          <w:tcPr>
            <w:tcW w:w="21" w:type="dxa"/>
            <w:vAlign w:val="bottom"/>
            <w:hideMark/>
          </w:tcPr>
          <w:p w14:paraId="4B841A1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25E9108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(3 043)</w:t>
            </w:r>
          </w:p>
        </w:tc>
        <w:tc>
          <w:tcPr>
            <w:tcW w:w="21" w:type="dxa"/>
            <w:vAlign w:val="bottom"/>
            <w:hideMark/>
          </w:tcPr>
          <w:p w14:paraId="792B419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0B80FD9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(8 162)</w:t>
            </w:r>
          </w:p>
        </w:tc>
        <w:tc>
          <w:tcPr>
            <w:tcW w:w="21" w:type="dxa"/>
            <w:vAlign w:val="bottom"/>
            <w:hideMark/>
          </w:tcPr>
          <w:p w14:paraId="6E8CCCA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2A937A0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(5 480)</w:t>
            </w:r>
          </w:p>
        </w:tc>
      </w:tr>
      <w:tr w:rsidR="0073434D" w:rsidRPr="0073434D" w14:paraId="6F84F261" w14:textId="77777777">
        <w:tc>
          <w:tcPr>
            <w:tcW w:w="5468" w:type="dxa"/>
            <w:vAlign w:val="center"/>
            <w:hideMark/>
          </w:tcPr>
          <w:p w14:paraId="7F97650A"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Loss for the period before taxes</w:t>
            </w:r>
          </w:p>
        </w:tc>
        <w:tc>
          <w:tcPr>
            <w:tcW w:w="21" w:type="dxa"/>
            <w:vAlign w:val="center"/>
            <w:hideMark/>
          </w:tcPr>
          <w:p w14:paraId="6E0C1D0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61C375A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22848FB6"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(23 870)</w:t>
            </w:r>
          </w:p>
        </w:tc>
        <w:tc>
          <w:tcPr>
            <w:tcW w:w="21" w:type="dxa"/>
            <w:vAlign w:val="center"/>
            <w:hideMark/>
          </w:tcPr>
          <w:p w14:paraId="5289F40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1162E817"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(16 885)</w:t>
            </w:r>
          </w:p>
        </w:tc>
        <w:tc>
          <w:tcPr>
            <w:tcW w:w="21" w:type="dxa"/>
            <w:vAlign w:val="center"/>
            <w:hideMark/>
          </w:tcPr>
          <w:p w14:paraId="1A6E7B6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1B809EA5"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(66 458)</w:t>
            </w:r>
          </w:p>
        </w:tc>
        <w:tc>
          <w:tcPr>
            <w:tcW w:w="21" w:type="dxa"/>
            <w:vAlign w:val="center"/>
            <w:hideMark/>
          </w:tcPr>
          <w:p w14:paraId="3052E85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77A77D75"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(41 363)</w:t>
            </w:r>
          </w:p>
        </w:tc>
      </w:tr>
      <w:tr w:rsidR="0073434D" w:rsidRPr="0073434D" w14:paraId="4206C9D8" w14:textId="77777777">
        <w:tc>
          <w:tcPr>
            <w:tcW w:w="5468" w:type="dxa"/>
            <w:vAlign w:val="center"/>
            <w:hideMark/>
          </w:tcPr>
          <w:p w14:paraId="5A535D4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Income taxes</w:t>
            </w:r>
          </w:p>
        </w:tc>
        <w:tc>
          <w:tcPr>
            <w:tcW w:w="21" w:type="dxa"/>
            <w:vAlign w:val="bottom"/>
            <w:hideMark/>
          </w:tcPr>
          <w:p w14:paraId="4B2DAE1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bottom"/>
            <w:hideMark/>
          </w:tcPr>
          <w:p w14:paraId="327C0DD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5C2B72A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290</w:t>
            </w:r>
          </w:p>
        </w:tc>
        <w:tc>
          <w:tcPr>
            <w:tcW w:w="21" w:type="dxa"/>
            <w:vAlign w:val="bottom"/>
            <w:hideMark/>
          </w:tcPr>
          <w:p w14:paraId="09DB4FE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3D964BAE" w14:textId="77777777" w:rsidR="0073434D" w:rsidRPr="0073434D" w:rsidRDefault="0073434D" w:rsidP="0073434D">
            <w:pPr>
              <w:bidi w:val="0"/>
              <w:jc w:val="both"/>
              <w:rPr>
                <w:rFonts w:ascii="David" w:hAnsi="David" w:cs="David"/>
                <w:sz w:val="28"/>
                <w:szCs w:val="28"/>
              </w:rPr>
            </w:pPr>
            <w:proofErr w:type="gramStart"/>
            <w:r w:rsidRPr="0073434D">
              <w:rPr>
                <w:rFonts w:ascii="David" w:hAnsi="David" w:cs="David"/>
                <w:sz w:val="28"/>
                <w:szCs w:val="28"/>
              </w:rPr>
              <w:t>( 173</w:t>
            </w:r>
            <w:proofErr w:type="gramEnd"/>
            <w:r w:rsidRPr="0073434D">
              <w:rPr>
                <w:rFonts w:ascii="David" w:hAnsi="David" w:cs="David"/>
                <w:sz w:val="28"/>
                <w:szCs w:val="28"/>
              </w:rPr>
              <w:t>)</w:t>
            </w:r>
          </w:p>
        </w:tc>
        <w:tc>
          <w:tcPr>
            <w:tcW w:w="21" w:type="dxa"/>
            <w:vAlign w:val="bottom"/>
            <w:hideMark/>
          </w:tcPr>
          <w:p w14:paraId="49E2337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05DD5398" w14:textId="77777777" w:rsidR="0073434D" w:rsidRPr="0073434D" w:rsidRDefault="0073434D" w:rsidP="0073434D">
            <w:pPr>
              <w:bidi w:val="0"/>
              <w:jc w:val="both"/>
              <w:rPr>
                <w:rFonts w:ascii="David" w:hAnsi="David" w:cs="David"/>
                <w:sz w:val="28"/>
                <w:szCs w:val="28"/>
              </w:rPr>
            </w:pPr>
            <w:proofErr w:type="gramStart"/>
            <w:r w:rsidRPr="0073434D">
              <w:rPr>
                <w:rFonts w:ascii="David" w:hAnsi="David" w:cs="David"/>
                <w:sz w:val="28"/>
                <w:szCs w:val="28"/>
              </w:rPr>
              <w:t>( 114</w:t>
            </w:r>
            <w:proofErr w:type="gramEnd"/>
            <w:r w:rsidRPr="0073434D">
              <w:rPr>
                <w:rFonts w:ascii="David" w:hAnsi="David" w:cs="David"/>
                <w:sz w:val="28"/>
                <w:szCs w:val="28"/>
              </w:rPr>
              <w:t>)</w:t>
            </w:r>
          </w:p>
        </w:tc>
        <w:tc>
          <w:tcPr>
            <w:tcW w:w="21" w:type="dxa"/>
            <w:vAlign w:val="bottom"/>
            <w:hideMark/>
          </w:tcPr>
          <w:p w14:paraId="16DCAF4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2B3C43EE" w14:textId="77777777" w:rsidR="0073434D" w:rsidRPr="0073434D" w:rsidRDefault="0073434D" w:rsidP="0073434D">
            <w:pPr>
              <w:bidi w:val="0"/>
              <w:jc w:val="both"/>
              <w:rPr>
                <w:rFonts w:ascii="David" w:hAnsi="David" w:cs="David"/>
                <w:sz w:val="28"/>
                <w:szCs w:val="28"/>
              </w:rPr>
            </w:pPr>
            <w:proofErr w:type="gramStart"/>
            <w:r w:rsidRPr="0073434D">
              <w:rPr>
                <w:rFonts w:ascii="David" w:hAnsi="David" w:cs="David"/>
                <w:sz w:val="28"/>
                <w:szCs w:val="28"/>
              </w:rPr>
              <w:t>( 724</w:t>
            </w:r>
            <w:proofErr w:type="gramEnd"/>
            <w:r w:rsidRPr="0073434D">
              <w:rPr>
                <w:rFonts w:ascii="David" w:hAnsi="David" w:cs="David"/>
                <w:sz w:val="28"/>
                <w:szCs w:val="28"/>
              </w:rPr>
              <w:t>)</w:t>
            </w:r>
          </w:p>
        </w:tc>
      </w:tr>
      <w:tr w:rsidR="0073434D" w:rsidRPr="0073434D" w14:paraId="0DFAD67C" w14:textId="77777777">
        <w:tc>
          <w:tcPr>
            <w:tcW w:w="5468" w:type="dxa"/>
            <w:vAlign w:val="center"/>
            <w:hideMark/>
          </w:tcPr>
          <w:p w14:paraId="197A28C8"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Loss for the period</w:t>
            </w:r>
          </w:p>
        </w:tc>
        <w:tc>
          <w:tcPr>
            <w:tcW w:w="21" w:type="dxa"/>
            <w:vAlign w:val="center"/>
            <w:hideMark/>
          </w:tcPr>
          <w:p w14:paraId="7E7B34C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57A5ACD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09E54EAA"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(23 580)</w:t>
            </w:r>
          </w:p>
        </w:tc>
        <w:tc>
          <w:tcPr>
            <w:tcW w:w="21" w:type="dxa"/>
            <w:vAlign w:val="center"/>
            <w:hideMark/>
          </w:tcPr>
          <w:p w14:paraId="3D0781F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641188AA"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(17 058)</w:t>
            </w:r>
          </w:p>
        </w:tc>
        <w:tc>
          <w:tcPr>
            <w:tcW w:w="21" w:type="dxa"/>
            <w:vAlign w:val="center"/>
            <w:hideMark/>
          </w:tcPr>
          <w:p w14:paraId="0FB4DAD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283C5854"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(66 572)</w:t>
            </w:r>
          </w:p>
        </w:tc>
        <w:tc>
          <w:tcPr>
            <w:tcW w:w="21" w:type="dxa"/>
            <w:vAlign w:val="center"/>
            <w:hideMark/>
          </w:tcPr>
          <w:p w14:paraId="2E15496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01AE1225"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(42 087)</w:t>
            </w:r>
          </w:p>
        </w:tc>
      </w:tr>
      <w:tr w:rsidR="0073434D" w:rsidRPr="0073434D" w14:paraId="1AA0287A" w14:textId="77777777">
        <w:tc>
          <w:tcPr>
            <w:tcW w:w="5468" w:type="dxa"/>
            <w:vAlign w:val="center"/>
            <w:hideMark/>
          </w:tcPr>
          <w:p w14:paraId="6B02F9A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6C2FC19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7F22ED4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79F505B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47E950B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5CCA537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58F11E6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3527256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39D3137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719FCD9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r>
      <w:tr w:rsidR="0073434D" w:rsidRPr="0073434D" w14:paraId="291FE6FC" w14:textId="77777777">
        <w:tc>
          <w:tcPr>
            <w:tcW w:w="5468" w:type="dxa"/>
            <w:vAlign w:val="center"/>
            <w:hideMark/>
          </w:tcPr>
          <w:p w14:paraId="0D3D9063"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Loss attributable to equity holders</w:t>
            </w:r>
          </w:p>
        </w:tc>
        <w:tc>
          <w:tcPr>
            <w:tcW w:w="21" w:type="dxa"/>
            <w:vAlign w:val="center"/>
            <w:hideMark/>
          </w:tcPr>
          <w:p w14:paraId="0DD8E50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54D821A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0290D0A7"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(23 580)</w:t>
            </w:r>
          </w:p>
        </w:tc>
        <w:tc>
          <w:tcPr>
            <w:tcW w:w="21" w:type="dxa"/>
            <w:vAlign w:val="center"/>
            <w:hideMark/>
          </w:tcPr>
          <w:p w14:paraId="08A1523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2FDCB126"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(17 058)</w:t>
            </w:r>
          </w:p>
        </w:tc>
        <w:tc>
          <w:tcPr>
            <w:tcW w:w="21" w:type="dxa"/>
            <w:vAlign w:val="center"/>
            <w:hideMark/>
          </w:tcPr>
          <w:p w14:paraId="4084D81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4363888B"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(66 572)</w:t>
            </w:r>
          </w:p>
        </w:tc>
        <w:tc>
          <w:tcPr>
            <w:tcW w:w="21" w:type="dxa"/>
            <w:vAlign w:val="center"/>
            <w:hideMark/>
          </w:tcPr>
          <w:p w14:paraId="5C7A20E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544D00AE"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(42 087)</w:t>
            </w:r>
          </w:p>
        </w:tc>
      </w:tr>
      <w:tr w:rsidR="0073434D" w:rsidRPr="0073434D" w14:paraId="29245959" w14:textId="77777777">
        <w:tc>
          <w:tcPr>
            <w:tcW w:w="5468" w:type="dxa"/>
            <w:vAlign w:val="center"/>
            <w:hideMark/>
          </w:tcPr>
          <w:p w14:paraId="47ED07DF"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Other comprehensive loss</w:t>
            </w:r>
          </w:p>
        </w:tc>
        <w:tc>
          <w:tcPr>
            <w:tcW w:w="21" w:type="dxa"/>
            <w:vAlign w:val="bottom"/>
            <w:hideMark/>
          </w:tcPr>
          <w:p w14:paraId="6B53C3E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bottom"/>
            <w:hideMark/>
          </w:tcPr>
          <w:p w14:paraId="0790A46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5300EC7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bottom"/>
            <w:hideMark/>
          </w:tcPr>
          <w:p w14:paraId="657DAA7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21025BE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bottom"/>
            <w:hideMark/>
          </w:tcPr>
          <w:p w14:paraId="728C3BE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08E2F35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bottom"/>
            <w:hideMark/>
          </w:tcPr>
          <w:p w14:paraId="059E5C8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274F52B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r>
      <w:tr w:rsidR="0073434D" w:rsidRPr="0073434D" w14:paraId="1B055AB1" w14:textId="77777777">
        <w:tc>
          <w:tcPr>
            <w:tcW w:w="5468" w:type="dxa"/>
            <w:vAlign w:val="center"/>
            <w:hideMark/>
          </w:tcPr>
          <w:p w14:paraId="72846746"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Items that may be subsequently reclassified to profit or loss (net of tax)</w:t>
            </w:r>
          </w:p>
        </w:tc>
        <w:tc>
          <w:tcPr>
            <w:tcW w:w="21" w:type="dxa"/>
            <w:vAlign w:val="center"/>
            <w:hideMark/>
          </w:tcPr>
          <w:p w14:paraId="5C7ACE4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6E478E1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4A24146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6530796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0FAF570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54A9F71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17780D0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7397EAA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2611FC3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r>
      <w:tr w:rsidR="0073434D" w:rsidRPr="0073434D" w14:paraId="7F80F10B" w14:textId="77777777">
        <w:tc>
          <w:tcPr>
            <w:tcW w:w="5468" w:type="dxa"/>
            <w:vAlign w:val="center"/>
            <w:hideMark/>
          </w:tcPr>
          <w:p w14:paraId="3774FF2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Currency translation differences</w:t>
            </w:r>
          </w:p>
        </w:tc>
        <w:tc>
          <w:tcPr>
            <w:tcW w:w="21" w:type="dxa"/>
            <w:vAlign w:val="bottom"/>
            <w:hideMark/>
          </w:tcPr>
          <w:p w14:paraId="1E6E817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bottom"/>
            <w:hideMark/>
          </w:tcPr>
          <w:p w14:paraId="1069B8C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42E37301" w14:textId="77777777" w:rsidR="0073434D" w:rsidRPr="0073434D" w:rsidRDefault="0073434D" w:rsidP="0073434D">
            <w:pPr>
              <w:bidi w:val="0"/>
              <w:jc w:val="both"/>
              <w:rPr>
                <w:rFonts w:ascii="David" w:hAnsi="David" w:cs="David"/>
                <w:sz w:val="28"/>
                <w:szCs w:val="28"/>
              </w:rPr>
            </w:pPr>
            <w:proofErr w:type="gramStart"/>
            <w:r w:rsidRPr="0073434D">
              <w:rPr>
                <w:rFonts w:ascii="David" w:hAnsi="David" w:cs="David"/>
                <w:sz w:val="28"/>
                <w:szCs w:val="28"/>
              </w:rPr>
              <w:t>( 33</w:t>
            </w:r>
            <w:proofErr w:type="gramEnd"/>
            <w:r w:rsidRPr="0073434D">
              <w:rPr>
                <w:rFonts w:ascii="David" w:hAnsi="David" w:cs="David"/>
                <w:sz w:val="28"/>
                <w:szCs w:val="28"/>
              </w:rPr>
              <w:t>)</w:t>
            </w:r>
          </w:p>
        </w:tc>
        <w:tc>
          <w:tcPr>
            <w:tcW w:w="21" w:type="dxa"/>
            <w:vAlign w:val="bottom"/>
            <w:hideMark/>
          </w:tcPr>
          <w:p w14:paraId="2ABFC1B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19781102" w14:textId="77777777" w:rsidR="0073434D" w:rsidRPr="0073434D" w:rsidRDefault="0073434D" w:rsidP="0073434D">
            <w:pPr>
              <w:bidi w:val="0"/>
              <w:jc w:val="both"/>
              <w:rPr>
                <w:rFonts w:ascii="David" w:hAnsi="David" w:cs="David"/>
                <w:sz w:val="28"/>
                <w:szCs w:val="28"/>
              </w:rPr>
            </w:pPr>
            <w:proofErr w:type="gramStart"/>
            <w:r w:rsidRPr="0073434D">
              <w:rPr>
                <w:rFonts w:ascii="David" w:hAnsi="David" w:cs="David"/>
                <w:sz w:val="28"/>
                <w:szCs w:val="28"/>
              </w:rPr>
              <w:t>( 209</w:t>
            </w:r>
            <w:proofErr w:type="gramEnd"/>
            <w:r w:rsidRPr="0073434D">
              <w:rPr>
                <w:rFonts w:ascii="David" w:hAnsi="David" w:cs="David"/>
                <w:sz w:val="28"/>
                <w:szCs w:val="28"/>
              </w:rPr>
              <w:t>)</w:t>
            </w:r>
          </w:p>
        </w:tc>
        <w:tc>
          <w:tcPr>
            <w:tcW w:w="21" w:type="dxa"/>
            <w:vAlign w:val="bottom"/>
            <w:hideMark/>
          </w:tcPr>
          <w:p w14:paraId="2E3126A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2EA5E0D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197</w:t>
            </w:r>
          </w:p>
        </w:tc>
        <w:tc>
          <w:tcPr>
            <w:tcW w:w="21" w:type="dxa"/>
            <w:vAlign w:val="bottom"/>
            <w:hideMark/>
          </w:tcPr>
          <w:p w14:paraId="2CAE723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3B607BFA" w14:textId="77777777" w:rsidR="0073434D" w:rsidRPr="0073434D" w:rsidRDefault="0073434D" w:rsidP="0073434D">
            <w:pPr>
              <w:bidi w:val="0"/>
              <w:jc w:val="both"/>
              <w:rPr>
                <w:rFonts w:ascii="David" w:hAnsi="David" w:cs="David"/>
                <w:sz w:val="28"/>
                <w:szCs w:val="28"/>
              </w:rPr>
            </w:pPr>
            <w:proofErr w:type="gramStart"/>
            <w:r w:rsidRPr="0073434D">
              <w:rPr>
                <w:rFonts w:ascii="David" w:hAnsi="David" w:cs="David"/>
                <w:sz w:val="28"/>
                <w:szCs w:val="28"/>
              </w:rPr>
              <w:t>( 221</w:t>
            </w:r>
            <w:proofErr w:type="gramEnd"/>
            <w:r w:rsidRPr="0073434D">
              <w:rPr>
                <w:rFonts w:ascii="David" w:hAnsi="David" w:cs="David"/>
                <w:sz w:val="28"/>
                <w:szCs w:val="28"/>
              </w:rPr>
              <w:t>)</w:t>
            </w:r>
          </w:p>
        </w:tc>
      </w:tr>
      <w:tr w:rsidR="0073434D" w:rsidRPr="0073434D" w14:paraId="70B6DD62" w14:textId="77777777">
        <w:tc>
          <w:tcPr>
            <w:tcW w:w="5468" w:type="dxa"/>
            <w:vAlign w:val="center"/>
            <w:hideMark/>
          </w:tcPr>
          <w:p w14:paraId="10AC414A"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Total comprehensive loss for the year, net of tax</w:t>
            </w:r>
          </w:p>
        </w:tc>
        <w:tc>
          <w:tcPr>
            <w:tcW w:w="21" w:type="dxa"/>
            <w:vAlign w:val="center"/>
            <w:hideMark/>
          </w:tcPr>
          <w:p w14:paraId="3B5164F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3C9B0A3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22E4639C"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(23 613)</w:t>
            </w:r>
          </w:p>
        </w:tc>
        <w:tc>
          <w:tcPr>
            <w:tcW w:w="21" w:type="dxa"/>
            <w:vAlign w:val="bottom"/>
            <w:hideMark/>
          </w:tcPr>
          <w:p w14:paraId="2ECE19E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33C4C900"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(17 267)</w:t>
            </w:r>
          </w:p>
        </w:tc>
        <w:tc>
          <w:tcPr>
            <w:tcW w:w="21" w:type="dxa"/>
            <w:vAlign w:val="center"/>
            <w:hideMark/>
          </w:tcPr>
          <w:p w14:paraId="1F5FD82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3AF4DB4A"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(66 375)</w:t>
            </w:r>
          </w:p>
        </w:tc>
        <w:tc>
          <w:tcPr>
            <w:tcW w:w="21" w:type="dxa"/>
            <w:vAlign w:val="bottom"/>
            <w:hideMark/>
          </w:tcPr>
          <w:p w14:paraId="5E8D6E6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72D1ABC0"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(42 308)</w:t>
            </w:r>
          </w:p>
        </w:tc>
      </w:tr>
      <w:tr w:rsidR="0073434D" w:rsidRPr="0073434D" w14:paraId="3D3849E8" w14:textId="77777777">
        <w:tc>
          <w:tcPr>
            <w:tcW w:w="5468" w:type="dxa"/>
            <w:vAlign w:val="center"/>
            <w:hideMark/>
          </w:tcPr>
          <w:p w14:paraId="3257E387"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Loss attributable to equity holders</w:t>
            </w:r>
          </w:p>
        </w:tc>
        <w:tc>
          <w:tcPr>
            <w:tcW w:w="21" w:type="dxa"/>
            <w:vAlign w:val="bottom"/>
            <w:hideMark/>
          </w:tcPr>
          <w:p w14:paraId="70C06D4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bottom"/>
            <w:hideMark/>
          </w:tcPr>
          <w:p w14:paraId="212E638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0BAD7815"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(23 613)</w:t>
            </w:r>
          </w:p>
        </w:tc>
        <w:tc>
          <w:tcPr>
            <w:tcW w:w="21" w:type="dxa"/>
            <w:vAlign w:val="bottom"/>
            <w:hideMark/>
          </w:tcPr>
          <w:p w14:paraId="18E4740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0F440571"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(17 267)</w:t>
            </w:r>
          </w:p>
        </w:tc>
        <w:tc>
          <w:tcPr>
            <w:tcW w:w="21" w:type="dxa"/>
            <w:vAlign w:val="bottom"/>
            <w:hideMark/>
          </w:tcPr>
          <w:p w14:paraId="3F916BC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48E1C109"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(66 375)</w:t>
            </w:r>
          </w:p>
        </w:tc>
        <w:tc>
          <w:tcPr>
            <w:tcW w:w="21" w:type="dxa"/>
            <w:vAlign w:val="bottom"/>
            <w:hideMark/>
          </w:tcPr>
          <w:p w14:paraId="17B7522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6ED6B059"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(42 308)</w:t>
            </w:r>
          </w:p>
        </w:tc>
      </w:tr>
      <w:tr w:rsidR="0073434D" w:rsidRPr="0073434D" w14:paraId="75A52B6D" w14:textId="77777777">
        <w:tc>
          <w:tcPr>
            <w:tcW w:w="5468" w:type="dxa"/>
            <w:vAlign w:val="center"/>
            <w:hideMark/>
          </w:tcPr>
          <w:p w14:paraId="3378219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22AEB08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22B6BD6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578CDF2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5259A0A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5374029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2493A33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bottom"/>
            <w:hideMark/>
          </w:tcPr>
          <w:p w14:paraId="4EE81D7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39C00EF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bottom"/>
            <w:hideMark/>
          </w:tcPr>
          <w:p w14:paraId="180AE94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r>
      <w:tr w:rsidR="0073434D" w:rsidRPr="0073434D" w14:paraId="0E8CA15D" w14:textId="77777777">
        <w:tc>
          <w:tcPr>
            <w:tcW w:w="5468" w:type="dxa"/>
            <w:vAlign w:val="bottom"/>
            <w:hideMark/>
          </w:tcPr>
          <w:p w14:paraId="5C7FE97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Basic Loss Per Share (in EUR)</w:t>
            </w:r>
          </w:p>
        </w:tc>
        <w:tc>
          <w:tcPr>
            <w:tcW w:w="21" w:type="dxa"/>
            <w:vAlign w:val="bottom"/>
            <w:hideMark/>
          </w:tcPr>
          <w:p w14:paraId="322D21A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bottom"/>
            <w:hideMark/>
          </w:tcPr>
          <w:p w14:paraId="0871A55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center"/>
            <w:hideMark/>
          </w:tcPr>
          <w:p w14:paraId="0AE0DCF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(0.630)</w:t>
            </w:r>
          </w:p>
        </w:tc>
        <w:tc>
          <w:tcPr>
            <w:tcW w:w="21" w:type="dxa"/>
            <w:vAlign w:val="center"/>
            <w:hideMark/>
          </w:tcPr>
          <w:p w14:paraId="6F8A9C5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center"/>
            <w:hideMark/>
          </w:tcPr>
          <w:p w14:paraId="339CABE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(0.496)</w:t>
            </w:r>
          </w:p>
        </w:tc>
        <w:tc>
          <w:tcPr>
            <w:tcW w:w="21" w:type="dxa"/>
            <w:vAlign w:val="bottom"/>
            <w:hideMark/>
          </w:tcPr>
          <w:p w14:paraId="1C7C290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center"/>
            <w:hideMark/>
          </w:tcPr>
          <w:p w14:paraId="623E65B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(1.778)</w:t>
            </w:r>
          </w:p>
        </w:tc>
        <w:tc>
          <w:tcPr>
            <w:tcW w:w="21" w:type="dxa"/>
            <w:vAlign w:val="center"/>
            <w:hideMark/>
          </w:tcPr>
          <w:p w14:paraId="0ED08FC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center"/>
            <w:hideMark/>
          </w:tcPr>
          <w:p w14:paraId="7228493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(1.346)</w:t>
            </w:r>
          </w:p>
        </w:tc>
      </w:tr>
      <w:tr w:rsidR="0073434D" w:rsidRPr="0073434D" w14:paraId="376627E7" w14:textId="77777777">
        <w:tc>
          <w:tcPr>
            <w:tcW w:w="5468" w:type="dxa"/>
            <w:vAlign w:val="center"/>
            <w:hideMark/>
          </w:tcPr>
          <w:p w14:paraId="4417280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Diluted Loss Per Share (in EUR)</w:t>
            </w:r>
          </w:p>
        </w:tc>
        <w:tc>
          <w:tcPr>
            <w:tcW w:w="21" w:type="dxa"/>
            <w:vAlign w:val="center"/>
            <w:hideMark/>
          </w:tcPr>
          <w:p w14:paraId="47686E9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21" w:type="dxa"/>
            <w:vAlign w:val="center"/>
            <w:hideMark/>
          </w:tcPr>
          <w:p w14:paraId="0C665D1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center"/>
            <w:hideMark/>
          </w:tcPr>
          <w:p w14:paraId="4E0EC9F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(0.630)</w:t>
            </w:r>
          </w:p>
        </w:tc>
        <w:tc>
          <w:tcPr>
            <w:tcW w:w="21" w:type="dxa"/>
            <w:vAlign w:val="center"/>
            <w:hideMark/>
          </w:tcPr>
          <w:p w14:paraId="286818C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center"/>
            <w:hideMark/>
          </w:tcPr>
          <w:p w14:paraId="3C8B354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(0.496)</w:t>
            </w:r>
          </w:p>
        </w:tc>
        <w:tc>
          <w:tcPr>
            <w:tcW w:w="21" w:type="dxa"/>
            <w:vAlign w:val="center"/>
            <w:hideMark/>
          </w:tcPr>
          <w:p w14:paraId="4388AED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6" w:type="dxa"/>
            <w:vAlign w:val="center"/>
            <w:hideMark/>
          </w:tcPr>
          <w:p w14:paraId="6DA8BFE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(1.778)</w:t>
            </w:r>
          </w:p>
        </w:tc>
        <w:tc>
          <w:tcPr>
            <w:tcW w:w="21" w:type="dxa"/>
            <w:vAlign w:val="center"/>
            <w:hideMark/>
          </w:tcPr>
          <w:p w14:paraId="7DD6F18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br/>
              <w:t> </w:t>
            </w:r>
          </w:p>
        </w:tc>
        <w:tc>
          <w:tcPr>
            <w:tcW w:w="907" w:type="dxa"/>
            <w:vAlign w:val="center"/>
            <w:hideMark/>
          </w:tcPr>
          <w:p w14:paraId="39FCEEE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(1.346)</w:t>
            </w:r>
          </w:p>
        </w:tc>
      </w:tr>
    </w:tbl>
    <w:p w14:paraId="651598CA" w14:textId="77777777"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b/>
          <w:bCs/>
          <w:color w:val="000000"/>
          <w:sz w:val="28"/>
          <w:szCs w:val="28"/>
        </w:rPr>
        <w:t>CONSOLIDATED STATEMENT OF FINANCIAL POSITION (unaudited)</w:t>
      </w:r>
      <w:r w:rsidRPr="0073434D">
        <w:rPr>
          <w:rFonts w:ascii="David" w:hAnsi="David" w:cs="David"/>
          <w:color w:val="000000"/>
          <w:sz w:val="28"/>
          <w:szCs w:val="28"/>
        </w:rPr>
        <w:br/>
      </w:r>
      <w:r w:rsidRPr="0073434D">
        <w:rPr>
          <w:rFonts w:ascii="David" w:hAnsi="David" w:cs="David"/>
          <w:b/>
          <w:bCs/>
          <w:color w:val="000000"/>
          <w:sz w:val="28"/>
          <w:szCs w:val="28"/>
        </w:rPr>
        <w:t>(in thousands)</w:t>
      </w:r>
    </w:p>
    <w:tbl>
      <w:tblPr>
        <w:tblpPr w:leftFromText="180" w:rightFromText="180" w:vertAnchor="text" w:tblpXSpec="right" w:tblpYSpec="center"/>
        <w:tblW w:w="9075" w:type="dxa"/>
        <w:tblCellMar>
          <w:top w:w="15" w:type="dxa"/>
          <w:left w:w="15" w:type="dxa"/>
          <w:bottom w:w="15" w:type="dxa"/>
          <w:right w:w="15" w:type="dxa"/>
        </w:tblCellMar>
        <w:tblLook w:val="04A0" w:firstRow="1" w:lastRow="0" w:firstColumn="1" w:lastColumn="0" w:noHBand="0" w:noVBand="1"/>
      </w:tblPr>
      <w:tblGrid>
        <w:gridCol w:w="4902"/>
        <w:gridCol w:w="164"/>
        <w:gridCol w:w="164"/>
        <w:gridCol w:w="1321"/>
        <w:gridCol w:w="221"/>
        <w:gridCol w:w="966"/>
        <w:gridCol w:w="1061"/>
        <w:gridCol w:w="92"/>
        <w:gridCol w:w="92"/>
        <w:gridCol w:w="92"/>
      </w:tblGrid>
      <w:tr w:rsidR="0073434D" w:rsidRPr="0073434D" w14:paraId="1AA5580D" w14:textId="77777777">
        <w:tc>
          <w:tcPr>
            <w:tcW w:w="5155" w:type="dxa"/>
            <w:vAlign w:val="bottom"/>
            <w:hideMark/>
          </w:tcPr>
          <w:p w14:paraId="08936F5A"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70" w:type="dxa"/>
            <w:vAlign w:val="bottom"/>
            <w:hideMark/>
          </w:tcPr>
          <w:p w14:paraId="1B238DBD"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523" w:type="dxa"/>
            <w:gridSpan w:val="4"/>
            <w:vAlign w:val="bottom"/>
            <w:hideMark/>
          </w:tcPr>
          <w:p w14:paraId="3E014E6C"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As Of</w:t>
            </w:r>
          </w:p>
        </w:tc>
        <w:tc>
          <w:tcPr>
            <w:tcW w:w="1121" w:type="dxa"/>
            <w:gridSpan w:val="4"/>
            <w:vAlign w:val="bottom"/>
            <w:hideMark/>
          </w:tcPr>
          <w:p w14:paraId="532A590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4356FDA6" w14:textId="77777777">
        <w:tc>
          <w:tcPr>
            <w:tcW w:w="5155" w:type="dxa"/>
            <w:vAlign w:val="bottom"/>
            <w:hideMark/>
          </w:tcPr>
          <w:p w14:paraId="542FB8A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bottom"/>
            <w:hideMark/>
          </w:tcPr>
          <w:p w14:paraId="45CB8E8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bottom"/>
            <w:hideMark/>
          </w:tcPr>
          <w:p w14:paraId="2D286D5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02F6C22D"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September 30</w:t>
            </w:r>
            <w:r w:rsidRPr="0073434D">
              <w:rPr>
                <w:rFonts w:ascii="David" w:hAnsi="David" w:cs="David"/>
                <w:b/>
                <w:bCs/>
                <w:sz w:val="28"/>
                <w:szCs w:val="28"/>
              </w:rPr>
              <w:br/>
              <w:t>2025</w:t>
            </w:r>
          </w:p>
        </w:tc>
        <w:tc>
          <w:tcPr>
            <w:tcW w:w="232" w:type="dxa"/>
            <w:vAlign w:val="bottom"/>
            <w:hideMark/>
          </w:tcPr>
          <w:p w14:paraId="4F83F497"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090" w:type="dxa"/>
            <w:gridSpan w:val="2"/>
            <w:vAlign w:val="bottom"/>
            <w:hideMark/>
          </w:tcPr>
          <w:p w14:paraId="144B2033"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December 31 2024</w:t>
            </w:r>
          </w:p>
        </w:tc>
        <w:tc>
          <w:tcPr>
            <w:tcW w:w="6" w:type="dxa"/>
            <w:vAlign w:val="center"/>
            <w:hideMark/>
          </w:tcPr>
          <w:p w14:paraId="211EF8C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3C39CEB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10BD259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1EF6187D" w14:textId="77777777">
        <w:tc>
          <w:tcPr>
            <w:tcW w:w="5155" w:type="dxa"/>
            <w:vAlign w:val="center"/>
            <w:hideMark/>
          </w:tcPr>
          <w:p w14:paraId="7B4D9833"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ASSETS</w:t>
            </w:r>
          </w:p>
        </w:tc>
        <w:tc>
          <w:tcPr>
            <w:tcW w:w="170" w:type="dxa"/>
            <w:vAlign w:val="center"/>
            <w:hideMark/>
          </w:tcPr>
          <w:p w14:paraId="6AD4E6F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04AE91E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381F95C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32" w:type="dxa"/>
            <w:vAlign w:val="bottom"/>
            <w:hideMark/>
          </w:tcPr>
          <w:p w14:paraId="2EC26EE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74256BC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5AA5C08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23D7330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11CDCB1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6354E86A" w14:textId="77777777">
        <w:tc>
          <w:tcPr>
            <w:tcW w:w="5155" w:type="dxa"/>
            <w:vAlign w:val="center"/>
            <w:hideMark/>
          </w:tcPr>
          <w:p w14:paraId="62163E09"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Non-current assets</w:t>
            </w:r>
          </w:p>
        </w:tc>
        <w:tc>
          <w:tcPr>
            <w:tcW w:w="170" w:type="dxa"/>
            <w:vAlign w:val="bottom"/>
            <w:hideMark/>
          </w:tcPr>
          <w:p w14:paraId="0A56DC2E"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70" w:type="dxa"/>
            <w:vAlign w:val="bottom"/>
            <w:hideMark/>
          </w:tcPr>
          <w:p w14:paraId="41497C52"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137" w:type="dxa"/>
            <w:vAlign w:val="bottom"/>
            <w:hideMark/>
          </w:tcPr>
          <w:p w14:paraId="3B3324B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32" w:type="dxa"/>
            <w:vAlign w:val="bottom"/>
            <w:hideMark/>
          </w:tcPr>
          <w:p w14:paraId="3413580B"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090" w:type="dxa"/>
            <w:gridSpan w:val="2"/>
            <w:vAlign w:val="bottom"/>
            <w:hideMark/>
          </w:tcPr>
          <w:p w14:paraId="65256B3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6790342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222D244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38D520B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2C0B50A9" w14:textId="77777777">
        <w:tc>
          <w:tcPr>
            <w:tcW w:w="5155" w:type="dxa"/>
            <w:vAlign w:val="center"/>
            <w:hideMark/>
          </w:tcPr>
          <w:p w14:paraId="4B6525D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Property, plant and equipment</w:t>
            </w:r>
          </w:p>
        </w:tc>
        <w:tc>
          <w:tcPr>
            <w:tcW w:w="170" w:type="dxa"/>
            <w:vAlign w:val="center"/>
            <w:hideMark/>
          </w:tcPr>
          <w:p w14:paraId="0269823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24B490E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3E26E3F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4 471</w:t>
            </w:r>
          </w:p>
        </w:tc>
        <w:tc>
          <w:tcPr>
            <w:tcW w:w="232" w:type="dxa"/>
            <w:vAlign w:val="bottom"/>
            <w:hideMark/>
          </w:tcPr>
          <w:p w14:paraId="7504CF4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5491A2E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4 753</w:t>
            </w:r>
          </w:p>
        </w:tc>
        <w:tc>
          <w:tcPr>
            <w:tcW w:w="6" w:type="dxa"/>
            <w:vAlign w:val="center"/>
            <w:hideMark/>
          </w:tcPr>
          <w:p w14:paraId="7222466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27F41E9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5B461E7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0513EE23" w14:textId="77777777">
        <w:tc>
          <w:tcPr>
            <w:tcW w:w="5155" w:type="dxa"/>
            <w:vAlign w:val="center"/>
            <w:hideMark/>
          </w:tcPr>
          <w:p w14:paraId="49223B4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Intangible assets</w:t>
            </w:r>
          </w:p>
        </w:tc>
        <w:tc>
          <w:tcPr>
            <w:tcW w:w="170" w:type="dxa"/>
            <w:vAlign w:val="bottom"/>
            <w:hideMark/>
          </w:tcPr>
          <w:p w14:paraId="41493BD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bottom"/>
            <w:hideMark/>
          </w:tcPr>
          <w:p w14:paraId="31892BD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7663287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50 108</w:t>
            </w:r>
          </w:p>
        </w:tc>
        <w:tc>
          <w:tcPr>
            <w:tcW w:w="232" w:type="dxa"/>
            <w:vAlign w:val="bottom"/>
            <w:hideMark/>
          </w:tcPr>
          <w:p w14:paraId="55159116"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090" w:type="dxa"/>
            <w:gridSpan w:val="2"/>
            <w:vAlign w:val="bottom"/>
            <w:hideMark/>
          </w:tcPr>
          <w:p w14:paraId="376BEA0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50 381</w:t>
            </w:r>
          </w:p>
        </w:tc>
        <w:tc>
          <w:tcPr>
            <w:tcW w:w="6" w:type="dxa"/>
            <w:vAlign w:val="center"/>
            <w:hideMark/>
          </w:tcPr>
          <w:p w14:paraId="41FF1EF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7353913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67F6E09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53F80692" w14:textId="77777777">
        <w:tc>
          <w:tcPr>
            <w:tcW w:w="5155" w:type="dxa"/>
            <w:vAlign w:val="center"/>
            <w:hideMark/>
          </w:tcPr>
          <w:p w14:paraId="68A354E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Right of use assets</w:t>
            </w:r>
          </w:p>
        </w:tc>
        <w:tc>
          <w:tcPr>
            <w:tcW w:w="170" w:type="dxa"/>
            <w:vAlign w:val="center"/>
            <w:hideMark/>
          </w:tcPr>
          <w:p w14:paraId="5CFE32B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1EEC3A7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678B087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1 891</w:t>
            </w:r>
          </w:p>
        </w:tc>
        <w:tc>
          <w:tcPr>
            <w:tcW w:w="232" w:type="dxa"/>
            <w:vAlign w:val="bottom"/>
            <w:hideMark/>
          </w:tcPr>
          <w:p w14:paraId="5BCFDFD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50CC3B6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3 496</w:t>
            </w:r>
          </w:p>
        </w:tc>
        <w:tc>
          <w:tcPr>
            <w:tcW w:w="6" w:type="dxa"/>
            <w:vAlign w:val="center"/>
            <w:hideMark/>
          </w:tcPr>
          <w:p w14:paraId="46101D5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73423F2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4F7EF13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1E7A04D0" w14:textId="77777777">
        <w:tc>
          <w:tcPr>
            <w:tcW w:w="5155" w:type="dxa"/>
            <w:vAlign w:val="center"/>
            <w:hideMark/>
          </w:tcPr>
          <w:p w14:paraId="6D20EF1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Deferred tax asset</w:t>
            </w:r>
          </w:p>
        </w:tc>
        <w:tc>
          <w:tcPr>
            <w:tcW w:w="170" w:type="dxa"/>
            <w:vAlign w:val="bottom"/>
            <w:hideMark/>
          </w:tcPr>
          <w:p w14:paraId="238166AE"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70" w:type="dxa"/>
            <w:vAlign w:val="bottom"/>
            <w:hideMark/>
          </w:tcPr>
          <w:p w14:paraId="364CD789"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137" w:type="dxa"/>
            <w:vAlign w:val="bottom"/>
            <w:hideMark/>
          </w:tcPr>
          <w:p w14:paraId="3CF570B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25</w:t>
            </w:r>
          </w:p>
        </w:tc>
        <w:tc>
          <w:tcPr>
            <w:tcW w:w="232" w:type="dxa"/>
            <w:vAlign w:val="bottom"/>
            <w:hideMark/>
          </w:tcPr>
          <w:p w14:paraId="2EF132E8"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090" w:type="dxa"/>
            <w:gridSpan w:val="2"/>
            <w:vAlign w:val="bottom"/>
            <w:hideMark/>
          </w:tcPr>
          <w:p w14:paraId="763ACAB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76</w:t>
            </w:r>
          </w:p>
        </w:tc>
        <w:tc>
          <w:tcPr>
            <w:tcW w:w="6" w:type="dxa"/>
            <w:vAlign w:val="center"/>
            <w:hideMark/>
          </w:tcPr>
          <w:p w14:paraId="4880BA6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0D7C0A7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6AAA332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7B58400B" w14:textId="77777777">
        <w:tc>
          <w:tcPr>
            <w:tcW w:w="5155" w:type="dxa"/>
            <w:vAlign w:val="center"/>
            <w:hideMark/>
          </w:tcPr>
          <w:p w14:paraId="4A1773A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Other long-term receivables</w:t>
            </w:r>
          </w:p>
        </w:tc>
        <w:tc>
          <w:tcPr>
            <w:tcW w:w="170" w:type="dxa"/>
            <w:vAlign w:val="center"/>
            <w:hideMark/>
          </w:tcPr>
          <w:p w14:paraId="00BBE00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428F102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056BF30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1 759</w:t>
            </w:r>
          </w:p>
        </w:tc>
        <w:tc>
          <w:tcPr>
            <w:tcW w:w="232" w:type="dxa"/>
            <w:vAlign w:val="bottom"/>
            <w:hideMark/>
          </w:tcPr>
          <w:p w14:paraId="195620D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1836A9C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1 617</w:t>
            </w:r>
          </w:p>
        </w:tc>
        <w:tc>
          <w:tcPr>
            <w:tcW w:w="6" w:type="dxa"/>
            <w:vAlign w:val="center"/>
            <w:hideMark/>
          </w:tcPr>
          <w:p w14:paraId="041C10B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43B8D7C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253B9F3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23CF40F9" w14:textId="77777777">
        <w:tc>
          <w:tcPr>
            <w:tcW w:w="5155" w:type="dxa"/>
            <w:tcMar>
              <w:top w:w="15" w:type="dxa"/>
              <w:left w:w="450" w:type="dxa"/>
              <w:bottom w:w="15" w:type="dxa"/>
              <w:right w:w="15" w:type="dxa"/>
            </w:tcMar>
            <w:vAlign w:val="center"/>
            <w:hideMark/>
          </w:tcPr>
          <w:p w14:paraId="039DED3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bottom"/>
            <w:hideMark/>
          </w:tcPr>
          <w:p w14:paraId="5CA3381E"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70" w:type="dxa"/>
            <w:vAlign w:val="bottom"/>
            <w:hideMark/>
          </w:tcPr>
          <w:p w14:paraId="7CACB382"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137" w:type="dxa"/>
            <w:vAlign w:val="bottom"/>
            <w:hideMark/>
          </w:tcPr>
          <w:p w14:paraId="086F6F8D"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€ 58 254</w:t>
            </w:r>
          </w:p>
        </w:tc>
        <w:tc>
          <w:tcPr>
            <w:tcW w:w="232" w:type="dxa"/>
            <w:vAlign w:val="bottom"/>
            <w:hideMark/>
          </w:tcPr>
          <w:p w14:paraId="3617284C"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090" w:type="dxa"/>
            <w:gridSpan w:val="2"/>
            <w:vAlign w:val="bottom"/>
            <w:hideMark/>
          </w:tcPr>
          <w:p w14:paraId="3171CEAA"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€ 60 323</w:t>
            </w:r>
          </w:p>
        </w:tc>
        <w:tc>
          <w:tcPr>
            <w:tcW w:w="6" w:type="dxa"/>
            <w:vAlign w:val="center"/>
            <w:hideMark/>
          </w:tcPr>
          <w:p w14:paraId="76122E8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32905BB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671B77C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15933C26" w14:textId="77777777">
        <w:tc>
          <w:tcPr>
            <w:tcW w:w="5155" w:type="dxa"/>
            <w:vAlign w:val="center"/>
            <w:hideMark/>
          </w:tcPr>
          <w:p w14:paraId="60FC59F6"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Current assets</w:t>
            </w:r>
          </w:p>
        </w:tc>
        <w:tc>
          <w:tcPr>
            <w:tcW w:w="170" w:type="dxa"/>
            <w:vAlign w:val="center"/>
            <w:hideMark/>
          </w:tcPr>
          <w:p w14:paraId="4C14137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393BF26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4BCE62E2"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32" w:type="dxa"/>
            <w:vAlign w:val="bottom"/>
            <w:hideMark/>
          </w:tcPr>
          <w:p w14:paraId="47B4444E"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090" w:type="dxa"/>
            <w:gridSpan w:val="2"/>
            <w:vAlign w:val="bottom"/>
            <w:hideMark/>
          </w:tcPr>
          <w:p w14:paraId="69AD33C2"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6" w:type="dxa"/>
            <w:vAlign w:val="center"/>
            <w:hideMark/>
          </w:tcPr>
          <w:p w14:paraId="34A787F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1A19186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4FCA0E4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250C9765" w14:textId="77777777">
        <w:tc>
          <w:tcPr>
            <w:tcW w:w="5155" w:type="dxa"/>
            <w:vAlign w:val="center"/>
            <w:hideMark/>
          </w:tcPr>
          <w:p w14:paraId="4C773CA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Inventory</w:t>
            </w:r>
          </w:p>
        </w:tc>
        <w:tc>
          <w:tcPr>
            <w:tcW w:w="170" w:type="dxa"/>
            <w:vAlign w:val="bottom"/>
            <w:hideMark/>
          </w:tcPr>
          <w:p w14:paraId="155F552C"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70" w:type="dxa"/>
            <w:vAlign w:val="bottom"/>
            <w:hideMark/>
          </w:tcPr>
          <w:p w14:paraId="055345CA"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137" w:type="dxa"/>
            <w:vAlign w:val="bottom"/>
            <w:hideMark/>
          </w:tcPr>
          <w:p w14:paraId="66A910D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6 075</w:t>
            </w:r>
          </w:p>
        </w:tc>
        <w:tc>
          <w:tcPr>
            <w:tcW w:w="232" w:type="dxa"/>
            <w:vAlign w:val="bottom"/>
            <w:hideMark/>
          </w:tcPr>
          <w:p w14:paraId="7EF76290"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090" w:type="dxa"/>
            <w:gridSpan w:val="2"/>
            <w:vAlign w:val="bottom"/>
            <w:hideMark/>
          </w:tcPr>
          <w:p w14:paraId="738D2E7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4 716</w:t>
            </w:r>
          </w:p>
        </w:tc>
        <w:tc>
          <w:tcPr>
            <w:tcW w:w="6" w:type="dxa"/>
            <w:vAlign w:val="center"/>
            <w:hideMark/>
          </w:tcPr>
          <w:p w14:paraId="0A3B6FE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2540DC7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4455A7A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03A941F7" w14:textId="77777777">
        <w:tc>
          <w:tcPr>
            <w:tcW w:w="5155" w:type="dxa"/>
            <w:vAlign w:val="center"/>
            <w:hideMark/>
          </w:tcPr>
          <w:p w14:paraId="6F18B13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Trade receivables</w:t>
            </w:r>
          </w:p>
        </w:tc>
        <w:tc>
          <w:tcPr>
            <w:tcW w:w="170" w:type="dxa"/>
            <w:vAlign w:val="center"/>
            <w:hideMark/>
          </w:tcPr>
          <w:p w14:paraId="2154702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3F5FD09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59D2798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1 356</w:t>
            </w:r>
          </w:p>
        </w:tc>
        <w:tc>
          <w:tcPr>
            <w:tcW w:w="232" w:type="dxa"/>
            <w:vAlign w:val="bottom"/>
            <w:hideMark/>
          </w:tcPr>
          <w:p w14:paraId="7A8C810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7B4020E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3 382</w:t>
            </w:r>
          </w:p>
        </w:tc>
        <w:tc>
          <w:tcPr>
            <w:tcW w:w="6" w:type="dxa"/>
            <w:vAlign w:val="center"/>
            <w:hideMark/>
          </w:tcPr>
          <w:p w14:paraId="663BDCF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2198EAD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0275FE4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62DB8CEA" w14:textId="77777777">
        <w:tc>
          <w:tcPr>
            <w:tcW w:w="5155" w:type="dxa"/>
            <w:vAlign w:val="center"/>
            <w:hideMark/>
          </w:tcPr>
          <w:p w14:paraId="0F54557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Contract assets</w:t>
            </w:r>
          </w:p>
        </w:tc>
        <w:tc>
          <w:tcPr>
            <w:tcW w:w="170" w:type="dxa"/>
            <w:vAlign w:val="center"/>
            <w:hideMark/>
          </w:tcPr>
          <w:p w14:paraId="31603BB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53DFEFF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5105274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1 384</w:t>
            </w:r>
          </w:p>
        </w:tc>
        <w:tc>
          <w:tcPr>
            <w:tcW w:w="232" w:type="dxa"/>
            <w:vAlign w:val="bottom"/>
            <w:hideMark/>
          </w:tcPr>
          <w:p w14:paraId="4DC01FB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5E8E6CCD" w14:textId="77777777" w:rsidR="0073434D" w:rsidRPr="0073434D" w:rsidRDefault="0073434D" w:rsidP="0073434D">
            <w:pPr>
              <w:bidi w:val="0"/>
              <w:jc w:val="both"/>
              <w:rPr>
                <w:rFonts w:ascii="David" w:hAnsi="David" w:cs="David"/>
                <w:sz w:val="28"/>
                <w:szCs w:val="28"/>
              </w:rPr>
            </w:pPr>
            <w:r w:rsidRPr="0073434D">
              <w:rPr>
                <w:rFonts w:ascii="Cambria Math" w:hAnsi="Cambria Math" w:cs="Cambria Math"/>
                <w:sz w:val="28"/>
                <w:szCs w:val="28"/>
              </w:rPr>
              <w:t>−</w:t>
            </w:r>
          </w:p>
        </w:tc>
        <w:tc>
          <w:tcPr>
            <w:tcW w:w="6" w:type="dxa"/>
            <w:vAlign w:val="center"/>
            <w:hideMark/>
          </w:tcPr>
          <w:p w14:paraId="18F0D7D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6A94B44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65D621C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32CEE274" w14:textId="77777777">
        <w:tc>
          <w:tcPr>
            <w:tcW w:w="5155" w:type="dxa"/>
            <w:vAlign w:val="center"/>
            <w:hideMark/>
          </w:tcPr>
          <w:p w14:paraId="1BB9C5E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Other receivables</w:t>
            </w:r>
          </w:p>
        </w:tc>
        <w:tc>
          <w:tcPr>
            <w:tcW w:w="170" w:type="dxa"/>
            <w:vAlign w:val="center"/>
            <w:hideMark/>
          </w:tcPr>
          <w:p w14:paraId="40E8E62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41D381A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6A22933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3 026</w:t>
            </w:r>
          </w:p>
        </w:tc>
        <w:tc>
          <w:tcPr>
            <w:tcW w:w="232" w:type="dxa"/>
            <w:vAlign w:val="bottom"/>
            <w:hideMark/>
          </w:tcPr>
          <w:p w14:paraId="4B76051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09AD021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2 774</w:t>
            </w:r>
          </w:p>
        </w:tc>
        <w:tc>
          <w:tcPr>
            <w:tcW w:w="6" w:type="dxa"/>
            <w:vAlign w:val="center"/>
            <w:hideMark/>
          </w:tcPr>
          <w:p w14:paraId="4D37016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523EAC3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49613F8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19A50CC7" w14:textId="77777777">
        <w:tc>
          <w:tcPr>
            <w:tcW w:w="5155" w:type="dxa"/>
            <w:vAlign w:val="center"/>
            <w:hideMark/>
          </w:tcPr>
          <w:p w14:paraId="45D24FC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Other current assets</w:t>
            </w:r>
          </w:p>
        </w:tc>
        <w:tc>
          <w:tcPr>
            <w:tcW w:w="170" w:type="dxa"/>
            <w:vAlign w:val="center"/>
            <w:hideMark/>
          </w:tcPr>
          <w:p w14:paraId="304ABA9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3DE5090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169800A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1 026</w:t>
            </w:r>
          </w:p>
        </w:tc>
        <w:tc>
          <w:tcPr>
            <w:tcW w:w="232" w:type="dxa"/>
            <w:vAlign w:val="bottom"/>
            <w:hideMark/>
          </w:tcPr>
          <w:p w14:paraId="605EA9F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2AAC312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1 656</w:t>
            </w:r>
          </w:p>
        </w:tc>
        <w:tc>
          <w:tcPr>
            <w:tcW w:w="6" w:type="dxa"/>
            <w:vAlign w:val="center"/>
            <w:hideMark/>
          </w:tcPr>
          <w:p w14:paraId="2AE610F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57249F6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33031E1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5B56209F" w14:textId="77777777">
        <w:tc>
          <w:tcPr>
            <w:tcW w:w="5155" w:type="dxa"/>
            <w:vAlign w:val="center"/>
            <w:hideMark/>
          </w:tcPr>
          <w:p w14:paraId="6BE7F44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Financial assets</w:t>
            </w:r>
          </w:p>
        </w:tc>
        <w:tc>
          <w:tcPr>
            <w:tcW w:w="170" w:type="dxa"/>
            <w:vAlign w:val="center"/>
            <w:hideMark/>
          </w:tcPr>
          <w:p w14:paraId="3C93144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717E6C9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1A19CE6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11 609</w:t>
            </w:r>
          </w:p>
        </w:tc>
        <w:tc>
          <w:tcPr>
            <w:tcW w:w="232" w:type="dxa"/>
            <w:vAlign w:val="bottom"/>
            <w:hideMark/>
          </w:tcPr>
          <w:p w14:paraId="6B10198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63B1827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51 369</w:t>
            </w:r>
          </w:p>
        </w:tc>
        <w:tc>
          <w:tcPr>
            <w:tcW w:w="6" w:type="dxa"/>
            <w:vAlign w:val="center"/>
            <w:hideMark/>
          </w:tcPr>
          <w:p w14:paraId="2BE7622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66AD583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231E455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219EB69A" w14:textId="77777777">
        <w:tc>
          <w:tcPr>
            <w:tcW w:w="5155" w:type="dxa"/>
            <w:vAlign w:val="center"/>
            <w:hideMark/>
          </w:tcPr>
          <w:p w14:paraId="122E58B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Cash and cash equivalents</w:t>
            </w:r>
          </w:p>
        </w:tc>
        <w:tc>
          <w:tcPr>
            <w:tcW w:w="170" w:type="dxa"/>
            <w:vAlign w:val="center"/>
            <w:hideMark/>
          </w:tcPr>
          <w:p w14:paraId="170D4B7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7415649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73C16D9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10 869</w:t>
            </w:r>
          </w:p>
        </w:tc>
        <w:tc>
          <w:tcPr>
            <w:tcW w:w="232" w:type="dxa"/>
            <w:vAlign w:val="bottom"/>
            <w:hideMark/>
          </w:tcPr>
          <w:p w14:paraId="5E97220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670192C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34 186</w:t>
            </w:r>
          </w:p>
        </w:tc>
        <w:tc>
          <w:tcPr>
            <w:tcW w:w="6" w:type="dxa"/>
            <w:vAlign w:val="center"/>
            <w:hideMark/>
          </w:tcPr>
          <w:p w14:paraId="4269B30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6C05738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282EAC8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0D3D259C" w14:textId="77777777">
        <w:tc>
          <w:tcPr>
            <w:tcW w:w="5155" w:type="dxa"/>
            <w:tcMar>
              <w:top w:w="15" w:type="dxa"/>
              <w:left w:w="225" w:type="dxa"/>
              <w:bottom w:w="15" w:type="dxa"/>
              <w:right w:w="15" w:type="dxa"/>
            </w:tcMar>
            <w:vAlign w:val="center"/>
            <w:hideMark/>
          </w:tcPr>
          <w:p w14:paraId="60D004D0"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70" w:type="dxa"/>
            <w:vAlign w:val="center"/>
            <w:hideMark/>
          </w:tcPr>
          <w:p w14:paraId="27559BB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1A43BAD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33645BAB"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€ 35 345</w:t>
            </w:r>
          </w:p>
        </w:tc>
        <w:tc>
          <w:tcPr>
            <w:tcW w:w="232" w:type="dxa"/>
            <w:vAlign w:val="bottom"/>
            <w:hideMark/>
          </w:tcPr>
          <w:p w14:paraId="2C1D8F7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05162BCB"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€ 98 083</w:t>
            </w:r>
          </w:p>
        </w:tc>
        <w:tc>
          <w:tcPr>
            <w:tcW w:w="6" w:type="dxa"/>
            <w:vAlign w:val="center"/>
            <w:hideMark/>
          </w:tcPr>
          <w:p w14:paraId="3E9AB08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4F725A0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70F54AA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0D28F65D" w14:textId="77777777">
        <w:tc>
          <w:tcPr>
            <w:tcW w:w="5155" w:type="dxa"/>
            <w:tcMar>
              <w:top w:w="15" w:type="dxa"/>
              <w:left w:w="225" w:type="dxa"/>
              <w:bottom w:w="15" w:type="dxa"/>
              <w:right w:w="15" w:type="dxa"/>
            </w:tcMar>
            <w:vAlign w:val="center"/>
            <w:hideMark/>
          </w:tcPr>
          <w:p w14:paraId="7DD895C7"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Total assets</w:t>
            </w:r>
          </w:p>
        </w:tc>
        <w:tc>
          <w:tcPr>
            <w:tcW w:w="170" w:type="dxa"/>
            <w:vAlign w:val="center"/>
            <w:hideMark/>
          </w:tcPr>
          <w:p w14:paraId="78F6F7C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358BF97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55ED126E"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€ 93 599</w:t>
            </w:r>
          </w:p>
        </w:tc>
        <w:tc>
          <w:tcPr>
            <w:tcW w:w="232" w:type="dxa"/>
            <w:vAlign w:val="bottom"/>
            <w:hideMark/>
          </w:tcPr>
          <w:p w14:paraId="02E8F08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3D5F904E"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€ 158 406</w:t>
            </w:r>
          </w:p>
        </w:tc>
        <w:tc>
          <w:tcPr>
            <w:tcW w:w="6" w:type="dxa"/>
            <w:vAlign w:val="center"/>
            <w:hideMark/>
          </w:tcPr>
          <w:p w14:paraId="162FDB7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4502B6D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142C93A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25545B2B" w14:textId="77777777">
        <w:tc>
          <w:tcPr>
            <w:tcW w:w="5155" w:type="dxa"/>
            <w:vAlign w:val="center"/>
            <w:hideMark/>
          </w:tcPr>
          <w:p w14:paraId="778003F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bottom"/>
            <w:hideMark/>
          </w:tcPr>
          <w:p w14:paraId="0524B45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bottom"/>
            <w:hideMark/>
          </w:tcPr>
          <w:p w14:paraId="6C27E5B1"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137" w:type="dxa"/>
            <w:vAlign w:val="bottom"/>
            <w:hideMark/>
          </w:tcPr>
          <w:p w14:paraId="51A3A0F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32" w:type="dxa"/>
            <w:vAlign w:val="bottom"/>
            <w:hideMark/>
          </w:tcPr>
          <w:p w14:paraId="0D62689E"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090" w:type="dxa"/>
            <w:gridSpan w:val="2"/>
            <w:vAlign w:val="bottom"/>
            <w:hideMark/>
          </w:tcPr>
          <w:p w14:paraId="13541CD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1CE21FD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29ED6C5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1462975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4A17F075" w14:textId="77777777">
        <w:tc>
          <w:tcPr>
            <w:tcW w:w="5155" w:type="dxa"/>
            <w:vAlign w:val="center"/>
            <w:hideMark/>
          </w:tcPr>
          <w:p w14:paraId="303A3872"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EQUITY AND LIABILITIES</w:t>
            </w:r>
          </w:p>
        </w:tc>
        <w:tc>
          <w:tcPr>
            <w:tcW w:w="170" w:type="dxa"/>
            <w:vAlign w:val="center"/>
            <w:hideMark/>
          </w:tcPr>
          <w:p w14:paraId="44942D4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0398E72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1BE8F3D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32" w:type="dxa"/>
            <w:vAlign w:val="bottom"/>
            <w:hideMark/>
          </w:tcPr>
          <w:p w14:paraId="52DFB18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6AA9B4B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0B86F7A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53D757F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0757B06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5E1C80EC" w14:textId="77777777">
        <w:tc>
          <w:tcPr>
            <w:tcW w:w="5155" w:type="dxa"/>
            <w:vAlign w:val="center"/>
            <w:hideMark/>
          </w:tcPr>
          <w:p w14:paraId="13708E73"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Share capital and reserves</w:t>
            </w:r>
          </w:p>
        </w:tc>
        <w:tc>
          <w:tcPr>
            <w:tcW w:w="170" w:type="dxa"/>
            <w:vAlign w:val="bottom"/>
            <w:hideMark/>
          </w:tcPr>
          <w:p w14:paraId="6015925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bottom"/>
            <w:hideMark/>
          </w:tcPr>
          <w:p w14:paraId="369CE9A7"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137" w:type="dxa"/>
            <w:vAlign w:val="bottom"/>
            <w:hideMark/>
          </w:tcPr>
          <w:p w14:paraId="3CBC8CC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32" w:type="dxa"/>
            <w:vAlign w:val="bottom"/>
            <w:hideMark/>
          </w:tcPr>
          <w:p w14:paraId="2871715B"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090" w:type="dxa"/>
            <w:gridSpan w:val="2"/>
            <w:vAlign w:val="bottom"/>
            <w:hideMark/>
          </w:tcPr>
          <w:p w14:paraId="2316795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3039CAC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342636A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390A604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68CF3A2C" w14:textId="77777777">
        <w:tc>
          <w:tcPr>
            <w:tcW w:w="5155" w:type="dxa"/>
            <w:vAlign w:val="center"/>
            <w:hideMark/>
          </w:tcPr>
          <w:p w14:paraId="068AC49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Share capital</w:t>
            </w:r>
          </w:p>
        </w:tc>
        <w:tc>
          <w:tcPr>
            <w:tcW w:w="170" w:type="dxa"/>
            <w:vAlign w:val="center"/>
            <w:hideMark/>
          </w:tcPr>
          <w:p w14:paraId="14A57D9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2BCF2F4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46552CC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6 450</w:t>
            </w:r>
          </w:p>
        </w:tc>
        <w:tc>
          <w:tcPr>
            <w:tcW w:w="232" w:type="dxa"/>
            <w:vAlign w:val="bottom"/>
            <w:hideMark/>
          </w:tcPr>
          <w:p w14:paraId="4CA2B4E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190355D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6 430</w:t>
            </w:r>
          </w:p>
        </w:tc>
        <w:tc>
          <w:tcPr>
            <w:tcW w:w="6" w:type="dxa"/>
            <w:vAlign w:val="center"/>
            <w:hideMark/>
          </w:tcPr>
          <w:p w14:paraId="3000007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0B1F221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446B70B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3B895343" w14:textId="77777777">
        <w:tc>
          <w:tcPr>
            <w:tcW w:w="5155" w:type="dxa"/>
            <w:vAlign w:val="center"/>
            <w:hideMark/>
          </w:tcPr>
          <w:p w14:paraId="70F79E3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Share premium</w:t>
            </w:r>
          </w:p>
        </w:tc>
        <w:tc>
          <w:tcPr>
            <w:tcW w:w="170" w:type="dxa"/>
            <w:vAlign w:val="center"/>
            <w:hideMark/>
          </w:tcPr>
          <w:p w14:paraId="667CD9C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5EBC6E3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7DDCADD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314 417</w:t>
            </w:r>
          </w:p>
        </w:tc>
        <w:tc>
          <w:tcPr>
            <w:tcW w:w="232" w:type="dxa"/>
            <w:vAlign w:val="bottom"/>
            <w:hideMark/>
          </w:tcPr>
          <w:p w14:paraId="1605C8A1"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090" w:type="dxa"/>
            <w:gridSpan w:val="2"/>
            <w:vAlign w:val="bottom"/>
            <w:hideMark/>
          </w:tcPr>
          <w:p w14:paraId="76EE92E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314 345</w:t>
            </w:r>
          </w:p>
        </w:tc>
        <w:tc>
          <w:tcPr>
            <w:tcW w:w="6" w:type="dxa"/>
            <w:vAlign w:val="center"/>
            <w:hideMark/>
          </w:tcPr>
          <w:p w14:paraId="39861CD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690CCF5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2B7B7D7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03EA5D30" w14:textId="77777777">
        <w:tc>
          <w:tcPr>
            <w:tcW w:w="5155" w:type="dxa"/>
            <w:vAlign w:val="center"/>
            <w:hideMark/>
          </w:tcPr>
          <w:p w14:paraId="1E4C160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Share based payment reserve</w:t>
            </w:r>
          </w:p>
        </w:tc>
        <w:tc>
          <w:tcPr>
            <w:tcW w:w="170" w:type="dxa"/>
            <w:vAlign w:val="bottom"/>
            <w:hideMark/>
          </w:tcPr>
          <w:p w14:paraId="67F682A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bottom"/>
            <w:hideMark/>
          </w:tcPr>
          <w:p w14:paraId="76FE4422"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137" w:type="dxa"/>
            <w:vAlign w:val="bottom"/>
            <w:hideMark/>
          </w:tcPr>
          <w:p w14:paraId="1388D0E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11 765</w:t>
            </w:r>
          </w:p>
        </w:tc>
        <w:tc>
          <w:tcPr>
            <w:tcW w:w="232" w:type="dxa"/>
            <w:vAlign w:val="bottom"/>
            <w:hideMark/>
          </w:tcPr>
          <w:p w14:paraId="02C2EDD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0B2ADBE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9 300</w:t>
            </w:r>
          </w:p>
        </w:tc>
        <w:tc>
          <w:tcPr>
            <w:tcW w:w="6" w:type="dxa"/>
            <w:vAlign w:val="center"/>
            <w:hideMark/>
          </w:tcPr>
          <w:p w14:paraId="0642C00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49CDA33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70FBB8B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1221DD93" w14:textId="77777777">
        <w:tc>
          <w:tcPr>
            <w:tcW w:w="5155" w:type="dxa"/>
            <w:vAlign w:val="center"/>
            <w:hideMark/>
          </w:tcPr>
          <w:p w14:paraId="5105B51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Other comprehensive income</w:t>
            </w:r>
          </w:p>
        </w:tc>
        <w:tc>
          <w:tcPr>
            <w:tcW w:w="170" w:type="dxa"/>
            <w:vAlign w:val="center"/>
            <w:hideMark/>
          </w:tcPr>
          <w:p w14:paraId="6301AF4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52AD911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67A484A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1 111</w:t>
            </w:r>
          </w:p>
        </w:tc>
        <w:tc>
          <w:tcPr>
            <w:tcW w:w="232" w:type="dxa"/>
            <w:vAlign w:val="bottom"/>
            <w:hideMark/>
          </w:tcPr>
          <w:p w14:paraId="2D813429"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090" w:type="dxa"/>
            <w:gridSpan w:val="2"/>
            <w:vAlign w:val="bottom"/>
            <w:hideMark/>
          </w:tcPr>
          <w:p w14:paraId="50BAE5A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914</w:t>
            </w:r>
          </w:p>
        </w:tc>
        <w:tc>
          <w:tcPr>
            <w:tcW w:w="6" w:type="dxa"/>
            <w:vAlign w:val="center"/>
            <w:hideMark/>
          </w:tcPr>
          <w:p w14:paraId="2D0932E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54F3803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1C8AC12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390F91D6" w14:textId="77777777">
        <w:tc>
          <w:tcPr>
            <w:tcW w:w="5155" w:type="dxa"/>
            <w:vAlign w:val="center"/>
            <w:hideMark/>
          </w:tcPr>
          <w:p w14:paraId="383E1E6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Retained loss</w:t>
            </w:r>
          </w:p>
        </w:tc>
        <w:tc>
          <w:tcPr>
            <w:tcW w:w="170" w:type="dxa"/>
            <w:vAlign w:val="bottom"/>
            <w:hideMark/>
          </w:tcPr>
          <w:p w14:paraId="422132A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bottom"/>
            <w:hideMark/>
          </w:tcPr>
          <w:p w14:paraId="0EA022D5"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137" w:type="dxa"/>
            <w:vAlign w:val="bottom"/>
            <w:hideMark/>
          </w:tcPr>
          <w:p w14:paraId="3064FEC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(282 789)</w:t>
            </w:r>
          </w:p>
        </w:tc>
        <w:tc>
          <w:tcPr>
            <w:tcW w:w="232" w:type="dxa"/>
            <w:vAlign w:val="bottom"/>
            <w:hideMark/>
          </w:tcPr>
          <w:p w14:paraId="2D8ED10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5AF54D2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(217 735)</w:t>
            </w:r>
          </w:p>
        </w:tc>
        <w:tc>
          <w:tcPr>
            <w:tcW w:w="6" w:type="dxa"/>
            <w:vAlign w:val="center"/>
            <w:hideMark/>
          </w:tcPr>
          <w:p w14:paraId="0F9EEFE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5F660CA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68FFD15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549433D0" w14:textId="77777777">
        <w:tc>
          <w:tcPr>
            <w:tcW w:w="5155" w:type="dxa"/>
            <w:tcMar>
              <w:top w:w="15" w:type="dxa"/>
              <w:left w:w="225" w:type="dxa"/>
              <w:bottom w:w="15" w:type="dxa"/>
              <w:right w:w="15" w:type="dxa"/>
            </w:tcMar>
            <w:vAlign w:val="center"/>
            <w:hideMark/>
          </w:tcPr>
          <w:p w14:paraId="255A894C"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Total equity attributable to shareholders</w:t>
            </w:r>
          </w:p>
        </w:tc>
        <w:tc>
          <w:tcPr>
            <w:tcW w:w="170" w:type="dxa"/>
            <w:vAlign w:val="center"/>
            <w:hideMark/>
          </w:tcPr>
          <w:p w14:paraId="1D51F83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6CAAF92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7625B525"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€ 50 954</w:t>
            </w:r>
          </w:p>
        </w:tc>
        <w:tc>
          <w:tcPr>
            <w:tcW w:w="232" w:type="dxa"/>
            <w:vAlign w:val="bottom"/>
            <w:hideMark/>
          </w:tcPr>
          <w:p w14:paraId="1FA3341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5311521B"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€ 113 254</w:t>
            </w:r>
          </w:p>
        </w:tc>
        <w:tc>
          <w:tcPr>
            <w:tcW w:w="6" w:type="dxa"/>
            <w:vAlign w:val="center"/>
            <w:hideMark/>
          </w:tcPr>
          <w:p w14:paraId="5A87BF2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24BD4A3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0CD4A39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3106E866" w14:textId="77777777">
        <w:tc>
          <w:tcPr>
            <w:tcW w:w="5155" w:type="dxa"/>
            <w:vAlign w:val="center"/>
            <w:hideMark/>
          </w:tcPr>
          <w:p w14:paraId="5494A49A"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70" w:type="dxa"/>
            <w:vAlign w:val="bottom"/>
            <w:hideMark/>
          </w:tcPr>
          <w:p w14:paraId="657B935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bottom"/>
            <w:hideMark/>
          </w:tcPr>
          <w:p w14:paraId="50CF6F6E"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137" w:type="dxa"/>
            <w:vAlign w:val="bottom"/>
            <w:hideMark/>
          </w:tcPr>
          <w:p w14:paraId="40F2A31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32" w:type="dxa"/>
            <w:vAlign w:val="bottom"/>
            <w:hideMark/>
          </w:tcPr>
          <w:p w14:paraId="37681BF9"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090" w:type="dxa"/>
            <w:gridSpan w:val="2"/>
            <w:vAlign w:val="bottom"/>
            <w:hideMark/>
          </w:tcPr>
          <w:p w14:paraId="3005FF2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7119E03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08BAA90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7BF2E9F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025BE0DE" w14:textId="77777777">
        <w:tc>
          <w:tcPr>
            <w:tcW w:w="5155" w:type="dxa"/>
            <w:vAlign w:val="center"/>
            <w:hideMark/>
          </w:tcPr>
          <w:p w14:paraId="710E5D1B"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LIABILITIES</w:t>
            </w:r>
          </w:p>
        </w:tc>
        <w:tc>
          <w:tcPr>
            <w:tcW w:w="170" w:type="dxa"/>
            <w:vAlign w:val="center"/>
            <w:hideMark/>
          </w:tcPr>
          <w:p w14:paraId="4F16BCA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36506FF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46E3548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32" w:type="dxa"/>
            <w:vAlign w:val="bottom"/>
            <w:hideMark/>
          </w:tcPr>
          <w:p w14:paraId="1A2DBE8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67F3A0A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08661AE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5023D92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0A4E8BF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08B932FA" w14:textId="77777777">
        <w:tc>
          <w:tcPr>
            <w:tcW w:w="5155" w:type="dxa"/>
            <w:vAlign w:val="center"/>
            <w:hideMark/>
          </w:tcPr>
          <w:p w14:paraId="19CE543B"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Non-current liabilities</w:t>
            </w:r>
          </w:p>
        </w:tc>
        <w:tc>
          <w:tcPr>
            <w:tcW w:w="170" w:type="dxa"/>
            <w:vAlign w:val="bottom"/>
            <w:hideMark/>
          </w:tcPr>
          <w:p w14:paraId="1B821C0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bottom"/>
            <w:hideMark/>
          </w:tcPr>
          <w:p w14:paraId="6979F2AF"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137" w:type="dxa"/>
            <w:vAlign w:val="bottom"/>
            <w:hideMark/>
          </w:tcPr>
          <w:p w14:paraId="066021F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32" w:type="dxa"/>
            <w:vAlign w:val="bottom"/>
            <w:hideMark/>
          </w:tcPr>
          <w:p w14:paraId="31045E12"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090" w:type="dxa"/>
            <w:gridSpan w:val="2"/>
            <w:vAlign w:val="bottom"/>
            <w:hideMark/>
          </w:tcPr>
          <w:p w14:paraId="0F99A1B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13DEE1A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6882644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6D4EF27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142E1850" w14:textId="77777777">
        <w:tc>
          <w:tcPr>
            <w:tcW w:w="5155" w:type="dxa"/>
            <w:vAlign w:val="center"/>
            <w:hideMark/>
          </w:tcPr>
          <w:p w14:paraId="43E54FA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Financial debt</w:t>
            </w:r>
          </w:p>
        </w:tc>
        <w:tc>
          <w:tcPr>
            <w:tcW w:w="170" w:type="dxa"/>
            <w:vAlign w:val="center"/>
            <w:hideMark/>
          </w:tcPr>
          <w:p w14:paraId="4F2D814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1FC6335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11ABD48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18 787</w:t>
            </w:r>
          </w:p>
        </w:tc>
        <w:tc>
          <w:tcPr>
            <w:tcW w:w="232" w:type="dxa"/>
            <w:vAlign w:val="bottom"/>
            <w:hideMark/>
          </w:tcPr>
          <w:p w14:paraId="08048BDF"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090" w:type="dxa"/>
            <w:gridSpan w:val="2"/>
            <w:vAlign w:val="bottom"/>
            <w:hideMark/>
          </w:tcPr>
          <w:p w14:paraId="31769B2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18 725</w:t>
            </w:r>
          </w:p>
        </w:tc>
        <w:tc>
          <w:tcPr>
            <w:tcW w:w="6" w:type="dxa"/>
            <w:vAlign w:val="center"/>
            <w:hideMark/>
          </w:tcPr>
          <w:p w14:paraId="2E2B7A1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54F7AA6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3C5140C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4C2E866B" w14:textId="77777777">
        <w:tc>
          <w:tcPr>
            <w:tcW w:w="5155" w:type="dxa"/>
            <w:vAlign w:val="center"/>
            <w:hideMark/>
          </w:tcPr>
          <w:p w14:paraId="476773A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Lease liability</w:t>
            </w:r>
          </w:p>
        </w:tc>
        <w:tc>
          <w:tcPr>
            <w:tcW w:w="170" w:type="dxa"/>
            <w:vAlign w:val="bottom"/>
            <w:hideMark/>
          </w:tcPr>
          <w:p w14:paraId="66CBB4A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bottom"/>
            <w:hideMark/>
          </w:tcPr>
          <w:p w14:paraId="2FDEBB0B"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137" w:type="dxa"/>
            <w:vAlign w:val="bottom"/>
            <w:hideMark/>
          </w:tcPr>
          <w:p w14:paraId="0EBA744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1 382</w:t>
            </w:r>
          </w:p>
        </w:tc>
        <w:tc>
          <w:tcPr>
            <w:tcW w:w="232" w:type="dxa"/>
            <w:vAlign w:val="bottom"/>
            <w:hideMark/>
          </w:tcPr>
          <w:p w14:paraId="220CAFF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5BC7C2E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2 562</w:t>
            </w:r>
          </w:p>
        </w:tc>
        <w:tc>
          <w:tcPr>
            <w:tcW w:w="6" w:type="dxa"/>
            <w:vAlign w:val="center"/>
            <w:hideMark/>
          </w:tcPr>
          <w:p w14:paraId="198D749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62BE4F5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39F6CD4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54B16C11" w14:textId="77777777">
        <w:tc>
          <w:tcPr>
            <w:tcW w:w="5155" w:type="dxa"/>
            <w:vAlign w:val="center"/>
            <w:hideMark/>
          </w:tcPr>
          <w:p w14:paraId="2FE79E5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Provisions</w:t>
            </w:r>
          </w:p>
        </w:tc>
        <w:tc>
          <w:tcPr>
            <w:tcW w:w="170" w:type="dxa"/>
            <w:vAlign w:val="bottom"/>
            <w:hideMark/>
          </w:tcPr>
          <w:p w14:paraId="63B2904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bottom"/>
            <w:hideMark/>
          </w:tcPr>
          <w:p w14:paraId="5454D1DF"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137" w:type="dxa"/>
            <w:vAlign w:val="bottom"/>
            <w:hideMark/>
          </w:tcPr>
          <w:p w14:paraId="5504440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1 106</w:t>
            </w:r>
          </w:p>
        </w:tc>
        <w:tc>
          <w:tcPr>
            <w:tcW w:w="232" w:type="dxa"/>
            <w:vAlign w:val="bottom"/>
            <w:hideMark/>
          </w:tcPr>
          <w:p w14:paraId="1FB3CA7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4F6A267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1 000</w:t>
            </w:r>
          </w:p>
        </w:tc>
        <w:tc>
          <w:tcPr>
            <w:tcW w:w="6" w:type="dxa"/>
            <w:vAlign w:val="center"/>
            <w:hideMark/>
          </w:tcPr>
          <w:p w14:paraId="3652A62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1BBC265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1C17B61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4022EEA6" w14:textId="77777777">
        <w:tc>
          <w:tcPr>
            <w:tcW w:w="5155" w:type="dxa"/>
            <w:vAlign w:val="center"/>
            <w:hideMark/>
          </w:tcPr>
          <w:p w14:paraId="358BAE9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Deferred tax liability</w:t>
            </w:r>
          </w:p>
        </w:tc>
        <w:tc>
          <w:tcPr>
            <w:tcW w:w="170" w:type="dxa"/>
            <w:vAlign w:val="bottom"/>
            <w:hideMark/>
          </w:tcPr>
          <w:p w14:paraId="4AB62F6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bottom"/>
            <w:hideMark/>
          </w:tcPr>
          <w:p w14:paraId="4A4533A5"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137" w:type="dxa"/>
            <w:vAlign w:val="bottom"/>
            <w:hideMark/>
          </w:tcPr>
          <w:p w14:paraId="5BDB27B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30</w:t>
            </w:r>
          </w:p>
        </w:tc>
        <w:tc>
          <w:tcPr>
            <w:tcW w:w="232" w:type="dxa"/>
            <w:vAlign w:val="bottom"/>
            <w:hideMark/>
          </w:tcPr>
          <w:p w14:paraId="019085F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206FCAF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19</w:t>
            </w:r>
          </w:p>
        </w:tc>
        <w:tc>
          <w:tcPr>
            <w:tcW w:w="6" w:type="dxa"/>
            <w:vAlign w:val="center"/>
            <w:hideMark/>
          </w:tcPr>
          <w:p w14:paraId="7BCB349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3DAD3A5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39A3132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4F8358AD" w14:textId="77777777">
        <w:tc>
          <w:tcPr>
            <w:tcW w:w="5155" w:type="dxa"/>
            <w:vAlign w:val="center"/>
            <w:hideMark/>
          </w:tcPr>
          <w:p w14:paraId="172A3F9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Contract liability</w:t>
            </w:r>
          </w:p>
        </w:tc>
        <w:tc>
          <w:tcPr>
            <w:tcW w:w="170" w:type="dxa"/>
            <w:vAlign w:val="center"/>
            <w:hideMark/>
          </w:tcPr>
          <w:p w14:paraId="4AD5F27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0CC3E06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51849E1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581</w:t>
            </w:r>
          </w:p>
        </w:tc>
        <w:tc>
          <w:tcPr>
            <w:tcW w:w="232" w:type="dxa"/>
            <w:vAlign w:val="bottom"/>
            <w:hideMark/>
          </w:tcPr>
          <w:p w14:paraId="67B1CDEA"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090" w:type="dxa"/>
            <w:gridSpan w:val="2"/>
            <w:vAlign w:val="bottom"/>
            <w:hideMark/>
          </w:tcPr>
          <w:p w14:paraId="2B3589F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472</w:t>
            </w:r>
          </w:p>
        </w:tc>
        <w:tc>
          <w:tcPr>
            <w:tcW w:w="6" w:type="dxa"/>
            <w:vAlign w:val="center"/>
            <w:hideMark/>
          </w:tcPr>
          <w:p w14:paraId="3FFB6BA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2B5EB19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6AD02E0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4108470E" w14:textId="77777777">
        <w:tc>
          <w:tcPr>
            <w:tcW w:w="5155" w:type="dxa"/>
            <w:vAlign w:val="center"/>
            <w:hideMark/>
          </w:tcPr>
          <w:p w14:paraId="7CEDC84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Other liability</w:t>
            </w:r>
          </w:p>
        </w:tc>
        <w:tc>
          <w:tcPr>
            <w:tcW w:w="170" w:type="dxa"/>
            <w:vAlign w:val="center"/>
            <w:hideMark/>
          </w:tcPr>
          <w:p w14:paraId="4929270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4ACC273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15094EBC" w14:textId="77777777" w:rsidR="0073434D" w:rsidRPr="0073434D" w:rsidRDefault="0073434D" w:rsidP="0073434D">
            <w:pPr>
              <w:bidi w:val="0"/>
              <w:jc w:val="both"/>
              <w:rPr>
                <w:rFonts w:ascii="David" w:hAnsi="David" w:cs="David"/>
                <w:sz w:val="28"/>
                <w:szCs w:val="28"/>
              </w:rPr>
            </w:pPr>
            <w:r w:rsidRPr="0073434D">
              <w:rPr>
                <w:rFonts w:ascii="Cambria Math" w:hAnsi="Cambria Math" w:cs="Cambria Math"/>
                <w:sz w:val="28"/>
                <w:szCs w:val="28"/>
              </w:rPr>
              <w:t>−</w:t>
            </w:r>
          </w:p>
        </w:tc>
        <w:tc>
          <w:tcPr>
            <w:tcW w:w="232" w:type="dxa"/>
            <w:vAlign w:val="bottom"/>
            <w:hideMark/>
          </w:tcPr>
          <w:p w14:paraId="211E4F6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22D8D26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845</w:t>
            </w:r>
          </w:p>
        </w:tc>
        <w:tc>
          <w:tcPr>
            <w:tcW w:w="6" w:type="dxa"/>
            <w:vAlign w:val="center"/>
            <w:hideMark/>
          </w:tcPr>
          <w:p w14:paraId="730B69F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17EC1DD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584097B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15582827" w14:textId="77777777">
        <w:tc>
          <w:tcPr>
            <w:tcW w:w="5155" w:type="dxa"/>
            <w:tcMar>
              <w:top w:w="15" w:type="dxa"/>
              <w:left w:w="450" w:type="dxa"/>
              <w:bottom w:w="15" w:type="dxa"/>
              <w:right w:w="15" w:type="dxa"/>
            </w:tcMar>
            <w:vAlign w:val="center"/>
            <w:hideMark/>
          </w:tcPr>
          <w:p w14:paraId="759AB12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bottom"/>
            <w:hideMark/>
          </w:tcPr>
          <w:p w14:paraId="4A8C54C1"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70" w:type="dxa"/>
            <w:vAlign w:val="bottom"/>
            <w:hideMark/>
          </w:tcPr>
          <w:p w14:paraId="049C538C"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137" w:type="dxa"/>
            <w:vAlign w:val="bottom"/>
            <w:hideMark/>
          </w:tcPr>
          <w:p w14:paraId="7C3DD6C1"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€ 21 886</w:t>
            </w:r>
          </w:p>
        </w:tc>
        <w:tc>
          <w:tcPr>
            <w:tcW w:w="232" w:type="dxa"/>
            <w:vAlign w:val="bottom"/>
            <w:hideMark/>
          </w:tcPr>
          <w:p w14:paraId="6B64B374"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090" w:type="dxa"/>
            <w:gridSpan w:val="2"/>
            <w:vAlign w:val="bottom"/>
            <w:hideMark/>
          </w:tcPr>
          <w:p w14:paraId="11456766"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€ 23 623</w:t>
            </w:r>
          </w:p>
        </w:tc>
        <w:tc>
          <w:tcPr>
            <w:tcW w:w="6" w:type="dxa"/>
            <w:vAlign w:val="center"/>
            <w:hideMark/>
          </w:tcPr>
          <w:p w14:paraId="2E9C6A1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419E59A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72E34EE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2878F2F8" w14:textId="77777777">
        <w:tc>
          <w:tcPr>
            <w:tcW w:w="5155" w:type="dxa"/>
            <w:vAlign w:val="center"/>
            <w:hideMark/>
          </w:tcPr>
          <w:p w14:paraId="7209276C"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Current liabilities</w:t>
            </w:r>
          </w:p>
        </w:tc>
        <w:tc>
          <w:tcPr>
            <w:tcW w:w="170" w:type="dxa"/>
            <w:vAlign w:val="bottom"/>
            <w:hideMark/>
          </w:tcPr>
          <w:p w14:paraId="643A507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bottom"/>
            <w:hideMark/>
          </w:tcPr>
          <w:p w14:paraId="2C2DFDB6"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137" w:type="dxa"/>
            <w:vAlign w:val="bottom"/>
            <w:hideMark/>
          </w:tcPr>
          <w:p w14:paraId="7B6AFB1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32" w:type="dxa"/>
            <w:vAlign w:val="bottom"/>
            <w:hideMark/>
          </w:tcPr>
          <w:p w14:paraId="522FA89A"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090" w:type="dxa"/>
            <w:gridSpan w:val="2"/>
            <w:vAlign w:val="bottom"/>
            <w:hideMark/>
          </w:tcPr>
          <w:p w14:paraId="0963F08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5A0FBAB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287BF85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36F3225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4193D695" w14:textId="77777777">
        <w:tc>
          <w:tcPr>
            <w:tcW w:w="5155" w:type="dxa"/>
            <w:vAlign w:val="center"/>
            <w:hideMark/>
          </w:tcPr>
          <w:p w14:paraId="430DD0A3"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Financial debt</w:t>
            </w:r>
          </w:p>
        </w:tc>
        <w:tc>
          <w:tcPr>
            <w:tcW w:w="170" w:type="dxa"/>
            <w:vAlign w:val="center"/>
            <w:hideMark/>
          </w:tcPr>
          <w:p w14:paraId="0409CE1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0733154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4DC419F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248</w:t>
            </w:r>
          </w:p>
        </w:tc>
        <w:tc>
          <w:tcPr>
            <w:tcW w:w="232" w:type="dxa"/>
            <w:vAlign w:val="bottom"/>
            <w:hideMark/>
          </w:tcPr>
          <w:p w14:paraId="7725C68A"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090" w:type="dxa"/>
            <w:gridSpan w:val="2"/>
            <w:vAlign w:val="bottom"/>
            <w:hideMark/>
          </w:tcPr>
          <w:p w14:paraId="7F3E8ED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248</w:t>
            </w:r>
          </w:p>
        </w:tc>
        <w:tc>
          <w:tcPr>
            <w:tcW w:w="6" w:type="dxa"/>
            <w:vAlign w:val="center"/>
            <w:hideMark/>
          </w:tcPr>
          <w:p w14:paraId="1DFAF84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4013360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3C0C5E8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3010F29B" w14:textId="77777777">
        <w:tc>
          <w:tcPr>
            <w:tcW w:w="5155" w:type="dxa"/>
            <w:vAlign w:val="center"/>
            <w:hideMark/>
          </w:tcPr>
          <w:p w14:paraId="5F9BF50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Lease liability</w:t>
            </w:r>
          </w:p>
        </w:tc>
        <w:tc>
          <w:tcPr>
            <w:tcW w:w="170" w:type="dxa"/>
            <w:vAlign w:val="bottom"/>
            <w:hideMark/>
          </w:tcPr>
          <w:p w14:paraId="7D142B1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bottom"/>
            <w:hideMark/>
          </w:tcPr>
          <w:p w14:paraId="09C6F75E"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137" w:type="dxa"/>
            <w:vAlign w:val="bottom"/>
            <w:hideMark/>
          </w:tcPr>
          <w:p w14:paraId="310C802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742</w:t>
            </w:r>
          </w:p>
        </w:tc>
        <w:tc>
          <w:tcPr>
            <w:tcW w:w="232" w:type="dxa"/>
            <w:vAlign w:val="bottom"/>
            <w:hideMark/>
          </w:tcPr>
          <w:p w14:paraId="479C478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5171FD0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1 118</w:t>
            </w:r>
          </w:p>
        </w:tc>
        <w:tc>
          <w:tcPr>
            <w:tcW w:w="6" w:type="dxa"/>
            <w:vAlign w:val="center"/>
            <w:hideMark/>
          </w:tcPr>
          <w:p w14:paraId="1D06069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0B367B3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44208EB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0F4E0A30" w14:textId="77777777">
        <w:tc>
          <w:tcPr>
            <w:tcW w:w="5155" w:type="dxa"/>
            <w:vAlign w:val="center"/>
            <w:hideMark/>
          </w:tcPr>
          <w:p w14:paraId="1537E72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Trade payables</w:t>
            </w:r>
          </w:p>
        </w:tc>
        <w:tc>
          <w:tcPr>
            <w:tcW w:w="170" w:type="dxa"/>
            <w:vAlign w:val="center"/>
            <w:hideMark/>
          </w:tcPr>
          <w:p w14:paraId="1CAB512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73562A4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4BA0B41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9 559</w:t>
            </w:r>
          </w:p>
        </w:tc>
        <w:tc>
          <w:tcPr>
            <w:tcW w:w="232" w:type="dxa"/>
            <w:vAlign w:val="bottom"/>
            <w:hideMark/>
          </w:tcPr>
          <w:p w14:paraId="6F29CF83"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090" w:type="dxa"/>
            <w:gridSpan w:val="2"/>
            <w:vAlign w:val="bottom"/>
            <w:hideMark/>
          </w:tcPr>
          <w:p w14:paraId="320AC9C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9 505</w:t>
            </w:r>
          </w:p>
        </w:tc>
        <w:tc>
          <w:tcPr>
            <w:tcW w:w="6" w:type="dxa"/>
            <w:vAlign w:val="center"/>
            <w:hideMark/>
          </w:tcPr>
          <w:p w14:paraId="62EBB46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0775B15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4920EDC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02832380" w14:textId="77777777">
        <w:tc>
          <w:tcPr>
            <w:tcW w:w="5155" w:type="dxa"/>
            <w:vAlign w:val="center"/>
            <w:hideMark/>
          </w:tcPr>
          <w:p w14:paraId="3FE99DB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Current tax liability</w:t>
            </w:r>
          </w:p>
        </w:tc>
        <w:tc>
          <w:tcPr>
            <w:tcW w:w="170" w:type="dxa"/>
            <w:vAlign w:val="bottom"/>
            <w:hideMark/>
          </w:tcPr>
          <w:p w14:paraId="0053695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bottom"/>
            <w:hideMark/>
          </w:tcPr>
          <w:p w14:paraId="1AFDFB5D"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137" w:type="dxa"/>
            <w:vAlign w:val="bottom"/>
            <w:hideMark/>
          </w:tcPr>
          <w:p w14:paraId="1CA0EBD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3 376</w:t>
            </w:r>
          </w:p>
        </w:tc>
        <w:tc>
          <w:tcPr>
            <w:tcW w:w="232" w:type="dxa"/>
            <w:vAlign w:val="bottom"/>
            <w:hideMark/>
          </w:tcPr>
          <w:p w14:paraId="6483684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20450E5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4 317</w:t>
            </w:r>
          </w:p>
        </w:tc>
        <w:tc>
          <w:tcPr>
            <w:tcW w:w="6" w:type="dxa"/>
            <w:vAlign w:val="center"/>
            <w:hideMark/>
          </w:tcPr>
          <w:p w14:paraId="1444EF1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3393F42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4E0A76F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6B0D178D" w14:textId="77777777">
        <w:tc>
          <w:tcPr>
            <w:tcW w:w="5155" w:type="dxa"/>
            <w:vAlign w:val="center"/>
            <w:hideMark/>
          </w:tcPr>
          <w:p w14:paraId="7BF58E5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Contract liability</w:t>
            </w:r>
          </w:p>
        </w:tc>
        <w:tc>
          <w:tcPr>
            <w:tcW w:w="170" w:type="dxa"/>
            <w:vAlign w:val="center"/>
            <w:hideMark/>
          </w:tcPr>
          <w:p w14:paraId="166252DD"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551195C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1EAB63D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342</w:t>
            </w:r>
          </w:p>
        </w:tc>
        <w:tc>
          <w:tcPr>
            <w:tcW w:w="232" w:type="dxa"/>
            <w:vAlign w:val="bottom"/>
            <w:hideMark/>
          </w:tcPr>
          <w:p w14:paraId="3022B8BA"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2090" w:type="dxa"/>
            <w:gridSpan w:val="2"/>
            <w:vAlign w:val="bottom"/>
            <w:hideMark/>
          </w:tcPr>
          <w:p w14:paraId="3F158E3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117</w:t>
            </w:r>
          </w:p>
        </w:tc>
        <w:tc>
          <w:tcPr>
            <w:tcW w:w="6" w:type="dxa"/>
            <w:vAlign w:val="center"/>
            <w:hideMark/>
          </w:tcPr>
          <w:p w14:paraId="38FCA06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4EA1740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22ECA1E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4BEBBFF7" w14:textId="77777777">
        <w:tc>
          <w:tcPr>
            <w:tcW w:w="5155" w:type="dxa"/>
            <w:vAlign w:val="center"/>
            <w:hideMark/>
          </w:tcPr>
          <w:p w14:paraId="704D723B"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Other liability</w:t>
            </w:r>
          </w:p>
        </w:tc>
        <w:tc>
          <w:tcPr>
            <w:tcW w:w="170" w:type="dxa"/>
            <w:vAlign w:val="center"/>
            <w:hideMark/>
          </w:tcPr>
          <w:p w14:paraId="662444E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1875564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687B7FE9"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6 492</w:t>
            </w:r>
          </w:p>
        </w:tc>
        <w:tc>
          <w:tcPr>
            <w:tcW w:w="232" w:type="dxa"/>
            <w:vAlign w:val="bottom"/>
            <w:hideMark/>
          </w:tcPr>
          <w:p w14:paraId="64E70E9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0F27CE3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6 224</w:t>
            </w:r>
          </w:p>
        </w:tc>
        <w:tc>
          <w:tcPr>
            <w:tcW w:w="6" w:type="dxa"/>
            <w:vAlign w:val="center"/>
            <w:hideMark/>
          </w:tcPr>
          <w:p w14:paraId="051EC42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08582AD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3971558C"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17DE21B0" w14:textId="77777777">
        <w:tc>
          <w:tcPr>
            <w:tcW w:w="5155" w:type="dxa"/>
            <w:tcMar>
              <w:top w:w="15" w:type="dxa"/>
              <w:left w:w="225" w:type="dxa"/>
              <w:bottom w:w="15" w:type="dxa"/>
              <w:right w:w="15" w:type="dxa"/>
            </w:tcMar>
            <w:vAlign w:val="center"/>
            <w:hideMark/>
          </w:tcPr>
          <w:p w14:paraId="2E3033FC"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w:t>
            </w:r>
          </w:p>
        </w:tc>
        <w:tc>
          <w:tcPr>
            <w:tcW w:w="170" w:type="dxa"/>
            <w:vAlign w:val="center"/>
            <w:hideMark/>
          </w:tcPr>
          <w:p w14:paraId="0A470871"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621B8BE0"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55D1EC63"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€ 20 759</w:t>
            </w:r>
          </w:p>
        </w:tc>
        <w:tc>
          <w:tcPr>
            <w:tcW w:w="232" w:type="dxa"/>
            <w:vAlign w:val="bottom"/>
            <w:hideMark/>
          </w:tcPr>
          <w:p w14:paraId="71666DE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01930BE4"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€ 21 529</w:t>
            </w:r>
          </w:p>
        </w:tc>
        <w:tc>
          <w:tcPr>
            <w:tcW w:w="6" w:type="dxa"/>
            <w:vAlign w:val="center"/>
            <w:hideMark/>
          </w:tcPr>
          <w:p w14:paraId="013BDCB5"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708ECC0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3136A17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4A09D326" w14:textId="77777777">
        <w:tc>
          <w:tcPr>
            <w:tcW w:w="5155" w:type="dxa"/>
            <w:tcMar>
              <w:top w:w="15" w:type="dxa"/>
              <w:left w:w="225" w:type="dxa"/>
              <w:bottom w:w="15" w:type="dxa"/>
              <w:right w:w="15" w:type="dxa"/>
            </w:tcMar>
            <w:vAlign w:val="center"/>
            <w:hideMark/>
          </w:tcPr>
          <w:p w14:paraId="3FBF1848"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Total liabilities</w:t>
            </w:r>
          </w:p>
        </w:tc>
        <w:tc>
          <w:tcPr>
            <w:tcW w:w="170" w:type="dxa"/>
            <w:vAlign w:val="center"/>
            <w:hideMark/>
          </w:tcPr>
          <w:p w14:paraId="2113569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7DEE209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336642F6"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€ 42 645</w:t>
            </w:r>
          </w:p>
        </w:tc>
        <w:tc>
          <w:tcPr>
            <w:tcW w:w="232" w:type="dxa"/>
            <w:vAlign w:val="bottom"/>
            <w:hideMark/>
          </w:tcPr>
          <w:p w14:paraId="7523B10E"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754C502E"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€ 45 152</w:t>
            </w:r>
          </w:p>
        </w:tc>
        <w:tc>
          <w:tcPr>
            <w:tcW w:w="6" w:type="dxa"/>
            <w:vAlign w:val="center"/>
            <w:hideMark/>
          </w:tcPr>
          <w:p w14:paraId="0BACFCB6"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0667794F"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4AA57F1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r w:rsidR="0073434D" w:rsidRPr="0073434D" w14:paraId="487DD425" w14:textId="77777777">
        <w:tc>
          <w:tcPr>
            <w:tcW w:w="5155" w:type="dxa"/>
            <w:tcMar>
              <w:top w:w="15" w:type="dxa"/>
              <w:left w:w="225" w:type="dxa"/>
              <w:bottom w:w="15" w:type="dxa"/>
              <w:right w:w="15" w:type="dxa"/>
            </w:tcMar>
            <w:vAlign w:val="center"/>
            <w:hideMark/>
          </w:tcPr>
          <w:p w14:paraId="75F63650"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Total equity and liabilities</w:t>
            </w:r>
          </w:p>
        </w:tc>
        <w:tc>
          <w:tcPr>
            <w:tcW w:w="170" w:type="dxa"/>
            <w:vAlign w:val="center"/>
            <w:hideMark/>
          </w:tcPr>
          <w:p w14:paraId="018E8F48"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70" w:type="dxa"/>
            <w:vAlign w:val="center"/>
            <w:hideMark/>
          </w:tcPr>
          <w:p w14:paraId="551B6624"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1137" w:type="dxa"/>
            <w:vAlign w:val="bottom"/>
            <w:hideMark/>
          </w:tcPr>
          <w:p w14:paraId="172A5AA2"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€ 93 599</w:t>
            </w:r>
          </w:p>
        </w:tc>
        <w:tc>
          <w:tcPr>
            <w:tcW w:w="232" w:type="dxa"/>
            <w:vAlign w:val="bottom"/>
            <w:hideMark/>
          </w:tcPr>
          <w:p w14:paraId="4EE3B8D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2090" w:type="dxa"/>
            <w:gridSpan w:val="2"/>
            <w:vAlign w:val="bottom"/>
            <w:hideMark/>
          </w:tcPr>
          <w:p w14:paraId="1136EE98" w14:textId="77777777" w:rsidR="0073434D" w:rsidRPr="0073434D" w:rsidRDefault="0073434D" w:rsidP="0073434D">
            <w:pPr>
              <w:bidi w:val="0"/>
              <w:jc w:val="both"/>
              <w:rPr>
                <w:rFonts w:ascii="David" w:hAnsi="David" w:cs="David"/>
                <w:sz w:val="28"/>
                <w:szCs w:val="28"/>
              </w:rPr>
            </w:pPr>
            <w:r w:rsidRPr="0073434D">
              <w:rPr>
                <w:rFonts w:ascii="David" w:hAnsi="David" w:cs="David"/>
                <w:b/>
                <w:bCs/>
                <w:sz w:val="28"/>
                <w:szCs w:val="28"/>
              </w:rPr>
              <w:t>€ 158 406</w:t>
            </w:r>
          </w:p>
        </w:tc>
        <w:tc>
          <w:tcPr>
            <w:tcW w:w="6" w:type="dxa"/>
            <w:vAlign w:val="center"/>
            <w:hideMark/>
          </w:tcPr>
          <w:p w14:paraId="036BF292"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6" w:type="dxa"/>
            <w:vAlign w:val="center"/>
            <w:hideMark/>
          </w:tcPr>
          <w:p w14:paraId="5F458B1A"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c>
          <w:tcPr>
            <w:tcW w:w="8" w:type="dxa"/>
            <w:vAlign w:val="center"/>
            <w:hideMark/>
          </w:tcPr>
          <w:p w14:paraId="09F649E7" w14:textId="77777777" w:rsidR="0073434D" w:rsidRPr="0073434D" w:rsidRDefault="0073434D" w:rsidP="0073434D">
            <w:pPr>
              <w:bidi w:val="0"/>
              <w:jc w:val="both"/>
              <w:rPr>
                <w:rFonts w:ascii="David" w:hAnsi="David" w:cs="David"/>
                <w:sz w:val="28"/>
                <w:szCs w:val="28"/>
              </w:rPr>
            </w:pPr>
            <w:r w:rsidRPr="0073434D">
              <w:rPr>
                <w:rFonts w:ascii="David" w:hAnsi="David" w:cs="David"/>
                <w:sz w:val="28"/>
                <w:szCs w:val="28"/>
              </w:rPr>
              <w:t> </w:t>
            </w:r>
          </w:p>
        </w:tc>
      </w:tr>
    </w:tbl>
    <w:p w14:paraId="12208AE3" w14:textId="77777777" w:rsidR="0073434D" w:rsidRDefault="0073434D" w:rsidP="0073434D">
      <w:pPr>
        <w:bidi w:val="0"/>
        <w:spacing w:before="100" w:beforeAutospacing="1" w:after="100" w:afterAutospacing="1"/>
        <w:jc w:val="both"/>
        <w:rPr>
          <w:rFonts w:ascii="David" w:hAnsi="David" w:cs="David"/>
          <w:i/>
          <w:iCs/>
          <w:color w:val="000000"/>
          <w:sz w:val="28"/>
          <w:szCs w:val="28"/>
        </w:rPr>
      </w:pPr>
    </w:p>
    <w:p w14:paraId="72AE7D2C" w14:textId="77777777" w:rsidR="0073434D" w:rsidRDefault="0073434D" w:rsidP="0073434D">
      <w:pPr>
        <w:bidi w:val="0"/>
        <w:spacing w:before="100" w:beforeAutospacing="1" w:after="100" w:afterAutospacing="1"/>
        <w:jc w:val="both"/>
        <w:rPr>
          <w:rFonts w:ascii="David" w:hAnsi="David" w:cs="David"/>
          <w:i/>
          <w:iCs/>
          <w:color w:val="000000"/>
          <w:sz w:val="28"/>
          <w:szCs w:val="28"/>
        </w:rPr>
      </w:pPr>
    </w:p>
    <w:p w14:paraId="739206F2" w14:textId="77777777" w:rsidR="0073434D" w:rsidRDefault="0073434D" w:rsidP="0073434D">
      <w:pPr>
        <w:bidi w:val="0"/>
        <w:spacing w:before="100" w:beforeAutospacing="1" w:after="100" w:afterAutospacing="1"/>
        <w:jc w:val="both"/>
        <w:rPr>
          <w:rFonts w:ascii="David" w:hAnsi="David" w:cs="David"/>
          <w:color w:val="000000"/>
          <w:sz w:val="28"/>
          <w:szCs w:val="28"/>
        </w:rPr>
      </w:pPr>
    </w:p>
    <w:p w14:paraId="4F46BB8C" w14:textId="77777777" w:rsid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br/>
      </w:r>
    </w:p>
    <w:p w14:paraId="79B2027A" w14:textId="77777777" w:rsidR="0073434D" w:rsidRDefault="0073434D" w:rsidP="0073434D">
      <w:pPr>
        <w:bidi w:val="0"/>
        <w:spacing w:before="100" w:beforeAutospacing="1" w:after="100" w:afterAutospacing="1"/>
        <w:jc w:val="both"/>
        <w:rPr>
          <w:rFonts w:ascii="David" w:hAnsi="David" w:cs="David"/>
          <w:color w:val="000000"/>
          <w:sz w:val="28"/>
          <w:szCs w:val="28"/>
        </w:rPr>
      </w:pPr>
    </w:p>
    <w:p w14:paraId="0941F2D9" w14:textId="77777777" w:rsid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i/>
          <w:iCs/>
          <w:color w:val="000000"/>
          <w:sz w:val="28"/>
          <w:szCs w:val="28"/>
        </w:rPr>
        <w:t>Revenue</w:t>
      </w:r>
    </w:p>
    <w:p w14:paraId="1E40763F" w14:textId="17BA25CB"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t>Revenue was €2.0 million for the third quarter ending September 30, 2025, compared to €1.3 million for the third quarter ending September 30, 2024, representing a 56% year over year increase.</w:t>
      </w:r>
    </w:p>
    <w:p w14:paraId="6B285B38" w14:textId="77777777" w:rsid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i/>
          <w:iCs/>
          <w:color w:val="000000"/>
          <w:sz w:val="28"/>
          <w:szCs w:val="28"/>
        </w:rPr>
        <w:t>Cost of Goods Sold</w:t>
      </w:r>
    </w:p>
    <w:p w14:paraId="2A050A75" w14:textId="0640538E"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t>Cost of goods sold was €0.8 million for the third quarter ending September 30, 2025, representing a gross profit of €1.2 million, or gross margin of 60.5%. This compares to cost of goods sold of €482,000 in the third quarter ending September 30, 2024, for a gross profit of €0.8 million, or gross margin of 62.0%.</w:t>
      </w:r>
    </w:p>
    <w:p w14:paraId="2B5C5AF6" w14:textId="77777777" w:rsid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i/>
          <w:iCs/>
          <w:color w:val="000000"/>
          <w:sz w:val="28"/>
          <w:szCs w:val="28"/>
        </w:rPr>
        <w:t>Research and Development</w:t>
      </w:r>
    </w:p>
    <w:p w14:paraId="1E6EED7E" w14:textId="111A4671"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t>For the third quarter ending September 30, 2025, research and development (“R&amp;D”) expenses were €12.9 million, versus €7.9 million for the third quarter ending September 30, 2024. The increase in research and development expenses was primarily due to higher R&amp;D activities. Additionally, following FDA approval in August 2025, the amortization of the related intangible assets commenced leading to an increase in depreciation and amortization expenses.</w:t>
      </w:r>
    </w:p>
    <w:p w14:paraId="0C5F1896" w14:textId="77777777" w:rsid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i/>
          <w:iCs/>
          <w:color w:val="000000"/>
          <w:sz w:val="28"/>
          <w:szCs w:val="28"/>
        </w:rPr>
        <w:t>Selling, General and Administrative</w:t>
      </w:r>
    </w:p>
    <w:p w14:paraId="2099BD16" w14:textId="373EF0AF"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t xml:space="preserve">For the third quarter ending September 30, 2025, selling, general and administrative expenses were €12.7 million, versus €8.0 million for the third quarter ending September 30, 2024. The increase in selling, general and administrative expenses was mainly due to an increase of costs to support the commercialization of </w:t>
      </w:r>
      <w:proofErr w:type="spellStart"/>
      <w:r w:rsidRPr="0073434D">
        <w:rPr>
          <w:rFonts w:ascii="David" w:hAnsi="David" w:cs="David"/>
          <w:color w:val="000000"/>
          <w:sz w:val="28"/>
          <w:szCs w:val="28"/>
        </w:rPr>
        <w:t>Genio</w:t>
      </w:r>
      <w:proofErr w:type="spellEnd"/>
      <w:r w:rsidRPr="0073434D">
        <w:rPr>
          <w:rFonts w:ascii="David" w:hAnsi="David" w:cs="David"/>
          <w:color w:val="000000"/>
          <w:sz w:val="28"/>
          <w:szCs w:val="28"/>
        </w:rPr>
        <w:t xml:space="preserve">® system and the Company’s overall scale-up preparations for the commercialization of the </w:t>
      </w:r>
      <w:proofErr w:type="spellStart"/>
      <w:r w:rsidRPr="0073434D">
        <w:rPr>
          <w:rFonts w:ascii="David" w:hAnsi="David" w:cs="David"/>
          <w:color w:val="000000"/>
          <w:sz w:val="28"/>
          <w:szCs w:val="28"/>
        </w:rPr>
        <w:t>Genio</w:t>
      </w:r>
      <w:proofErr w:type="spellEnd"/>
      <w:r w:rsidRPr="0073434D">
        <w:rPr>
          <w:rFonts w:ascii="David" w:hAnsi="David" w:cs="David"/>
          <w:color w:val="000000"/>
          <w:sz w:val="28"/>
          <w:szCs w:val="28"/>
        </w:rPr>
        <w:t>® system in the U.S. following receipt of FDA approval.</w:t>
      </w:r>
    </w:p>
    <w:p w14:paraId="35BDA5BA" w14:textId="77777777" w:rsid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i/>
          <w:iCs/>
          <w:color w:val="000000"/>
          <w:sz w:val="28"/>
          <w:szCs w:val="28"/>
        </w:rPr>
        <w:t>Operating Loss</w:t>
      </w:r>
    </w:p>
    <w:p w14:paraId="44F7C551" w14:textId="478B902F"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t xml:space="preserve">Total operating loss for the third quarter ending September 30, 2025, was €24.4 million, versus €15.0 million in the third quarter 2024, respectively. This was driven by an increase in selling, general and administrative expenses to support commercialization of the </w:t>
      </w:r>
      <w:proofErr w:type="spellStart"/>
      <w:r w:rsidRPr="0073434D">
        <w:rPr>
          <w:rFonts w:ascii="David" w:hAnsi="David" w:cs="David"/>
          <w:color w:val="000000"/>
          <w:sz w:val="28"/>
          <w:szCs w:val="28"/>
        </w:rPr>
        <w:t>Genio</w:t>
      </w:r>
      <w:proofErr w:type="spellEnd"/>
      <w:r w:rsidRPr="0073434D">
        <w:rPr>
          <w:rFonts w:ascii="David" w:hAnsi="David" w:cs="David"/>
          <w:color w:val="000000"/>
          <w:sz w:val="28"/>
          <w:szCs w:val="28"/>
        </w:rPr>
        <w:t xml:space="preserve"> system, including the Company’s overall scale-up preparations for the commercialization of the </w:t>
      </w:r>
      <w:proofErr w:type="spellStart"/>
      <w:r w:rsidRPr="0073434D">
        <w:rPr>
          <w:rFonts w:ascii="David" w:hAnsi="David" w:cs="David"/>
          <w:color w:val="000000"/>
          <w:sz w:val="28"/>
          <w:szCs w:val="28"/>
        </w:rPr>
        <w:t>Genio</w:t>
      </w:r>
      <w:proofErr w:type="spellEnd"/>
      <w:r w:rsidRPr="0073434D">
        <w:rPr>
          <w:rFonts w:ascii="David" w:hAnsi="David" w:cs="David"/>
          <w:color w:val="000000"/>
          <w:sz w:val="28"/>
          <w:szCs w:val="28"/>
        </w:rPr>
        <w:t xml:space="preserve"> system in the US in connection with the receipt of FDA approval, and increased R&amp;D and manufacturing activities, in addition to higher depreciation and amortization expenses.</w:t>
      </w:r>
    </w:p>
    <w:p w14:paraId="7EEB7C2E" w14:textId="77777777" w:rsid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b/>
          <w:bCs/>
          <w:color w:val="000000"/>
          <w:sz w:val="28"/>
          <w:szCs w:val="28"/>
        </w:rPr>
        <w:t>Cash Position</w:t>
      </w:r>
    </w:p>
    <w:p w14:paraId="70598379" w14:textId="3B7B2948"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br/>
        <w:t>As of September 30, 2025, cash, cash equivalents and financial assets totaled €22.5 million, compared to €43.0 million at the end of June 30, 2025.</w:t>
      </w:r>
    </w:p>
    <w:p w14:paraId="691FA4DC" w14:textId="77777777" w:rsid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b/>
          <w:bCs/>
          <w:color w:val="000000"/>
          <w:sz w:val="28"/>
          <w:szCs w:val="28"/>
        </w:rPr>
        <w:t>Third Quarter 2025</w:t>
      </w:r>
    </w:p>
    <w:p w14:paraId="3515AB00" w14:textId="7E046DC6" w:rsidR="0073434D" w:rsidRPr="0073434D" w:rsidRDefault="0073434D" w:rsidP="0073434D">
      <w:pPr>
        <w:bidi w:val="0"/>
        <w:spacing w:before="100" w:beforeAutospacing="1" w:after="100" w:afterAutospacing="1"/>
        <w:jc w:val="both"/>
        <w:rPr>
          <w:rFonts w:ascii="David" w:hAnsi="David" w:cs="David"/>
          <w:color w:val="000000"/>
          <w:sz w:val="28"/>
          <w:szCs w:val="28"/>
        </w:rPr>
      </w:pPr>
      <w:proofErr w:type="spellStart"/>
      <w:r w:rsidRPr="0073434D">
        <w:rPr>
          <w:rFonts w:ascii="David" w:hAnsi="David" w:cs="David"/>
          <w:color w:val="000000"/>
          <w:sz w:val="28"/>
          <w:szCs w:val="28"/>
        </w:rPr>
        <w:t>Nyxoah’s</w:t>
      </w:r>
      <w:proofErr w:type="spellEnd"/>
      <w:r w:rsidRPr="0073434D">
        <w:rPr>
          <w:rFonts w:ascii="David" w:hAnsi="David" w:cs="David"/>
          <w:color w:val="000000"/>
          <w:sz w:val="28"/>
          <w:szCs w:val="28"/>
        </w:rPr>
        <w:t xml:space="preserve"> financial report for the third quarter of 2025, including details of the consolidated results, are available on the investor page of </w:t>
      </w:r>
      <w:proofErr w:type="spellStart"/>
      <w:r w:rsidRPr="0073434D">
        <w:rPr>
          <w:rFonts w:ascii="David" w:hAnsi="David" w:cs="David"/>
          <w:color w:val="000000"/>
          <w:sz w:val="28"/>
          <w:szCs w:val="28"/>
        </w:rPr>
        <w:t>Nyxoah’s</w:t>
      </w:r>
      <w:proofErr w:type="spellEnd"/>
      <w:r w:rsidRPr="0073434D">
        <w:rPr>
          <w:rFonts w:ascii="David" w:hAnsi="David" w:cs="David"/>
          <w:color w:val="000000"/>
          <w:sz w:val="28"/>
          <w:szCs w:val="28"/>
        </w:rPr>
        <w:t xml:space="preserve"> website (</w:t>
      </w:r>
      <w:hyperlink r:id="rId8" w:tgtFrame="_blank" w:history="1">
        <w:r w:rsidRPr="0073434D">
          <w:rPr>
            <w:rFonts w:ascii="David" w:hAnsi="David" w:cs="David"/>
            <w:color w:val="0000FF"/>
            <w:sz w:val="28"/>
            <w:szCs w:val="28"/>
            <w:u w:val="single"/>
          </w:rPr>
          <w:t>https://investors.nyxoah.com/financials</w:t>
        </w:r>
      </w:hyperlink>
      <w:r w:rsidRPr="0073434D">
        <w:rPr>
          <w:rFonts w:ascii="David" w:hAnsi="David" w:cs="David"/>
          <w:color w:val="000000"/>
          <w:sz w:val="28"/>
          <w:szCs w:val="28"/>
        </w:rPr>
        <w:t>).</w:t>
      </w:r>
    </w:p>
    <w:p w14:paraId="5954AC5B" w14:textId="77777777" w:rsid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b/>
          <w:bCs/>
          <w:color w:val="000000"/>
          <w:sz w:val="28"/>
          <w:szCs w:val="28"/>
        </w:rPr>
        <w:t>Conference call and webcast presentation</w:t>
      </w:r>
    </w:p>
    <w:p w14:paraId="1B4DE429" w14:textId="2064F5FA"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t>Company management will host a conference call to discuss financial results on Thursday, November 13, 2025, beginning at 10:30pm CET / 4:30pm ET.</w:t>
      </w:r>
    </w:p>
    <w:p w14:paraId="1636C579" w14:textId="77777777"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t xml:space="preserve">A webcast of the call will be accessible via the Investor Relations page of the </w:t>
      </w:r>
      <w:proofErr w:type="spellStart"/>
      <w:r w:rsidRPr="0073434D">
        <w:rPr>
          <w:rFonts w:ascii="David" w:hAnsi="David" w:cs="David"/>
          <w:color w:val="000000"/>
          <w:sz w:val="28"/>
          <w:szCs w:val="28"/>
        </w:rPr>
        <w:t>Nyxoah</w:t>
      </w:r>
      <w:proofErr w:type="spellEnd"/>
      <w:r w:rsidRPr="0073434D">
        <w:rPr>
          <w:rFonts w:ascii="David" w:hAnsi="David" w:cs="David"/>
          <w:color w:val="000000"/>
          <w:sz w:val="28"/>
          <w:szCs w:val="28"/>
        </w:rPr>
        <w:t xml:space="preserve"> website or through this link: </w:t>
      </w:r>
      <w:proofErr w:type="spellStart"/>
      <w:r w:rsidRPr="0073434D">
        <w:rPr>
          <w:rFonts w:ascii="David" w:hAnsi="David" w:cs="David"/>
          <w:color w:val="000000"/>
          <w:sz w:val="28"/>
          <w:szCs w:val="28"/>
        </w:rPr>
        <w:fldChar w:fldCharType="begin"/>
      </w:r>
      <w:r w:rsidRPr="0073434D">
        <w:rPr>
          <w:rFonts w:ascii="David" w:hAnsi="David" w:cs="David"/>
          <w:color w:val="000000"/>
          <w:sz w:val="28"/>
          <w:szCs w:val="28"/>
        </w:rPr>
        <w:instrText>HYPERLINK "https://www.globenewswire.com/Tracker?data=wll-PyFsis1saHu8tWLcNYULcE_KKP0Ya7sSFyHpDaR0uyZBzlRXXM5FgCHmvPhHfVaCfgpYccWBmXkPle9hN1SQfOtN5sYKsv2MZ8HThBVscs-YS8_lvM0GA8QQBG2rXqw8ywn41ePDo6sru96Gyltbwr_3-mV2wVtfNhCsBxgCodMpWN1aD3xSG5MILdUL9H9G7Cx6O_ov3UW6Z8bqeK3YeVw_A8i04I5yip_0l7RBfGrhTAaUtanFcta-hCkna5vYz-kxaUS8fcmwqc3mJXpQqreSALaX_Is54DjpAj1-qGF-r3vuNCeveErRwQkIjKLhcHQ8IdsNulYlMtqNUlgJNkcDnBSUaIh7NZOeFjbWZNCyVSpmXpiely4mCsLWsJsX0Wfw1kpcyNVOZwqbQv1FqGP5GA1-VhMUDj8WgVZfTNwsDNpry9i8x4L8SsnhIvdZzuiLhaUJ6b6LeVU4WPpTXdPSwagMXAdGjyHB_t2dNbEbJLrR1iSAtjCVVX0fc3n7pgDLM5dB2vOkz0Btxs0ovetcSjewn3P81nkrXPISWzwbC3OLlHT3cDPLQlNA-i3Mp6rlxPHjcQ27z4sK9bmYNLMYW6dEsOaqf96fLkdNPABXVMfnTHevIhmeBGD3qoCjo9RUaXpsXqb08rMlfS9cCElsWFaH6TcoBO95oVPe7pU0W6rfsS6CUxfOHoyq" \t "_blank"</w:instrText>
      </w:r>
      <w:r w:rsidRPr="0073434D">
        <w:rPr>
          <w:rFonts w:ascii="David" w:hAnsi="David" w:cs="David"/>
          <w:color w:val="000000"/>
          <w:sz w:val="28"/>
          <w:szCs w:val="28"/>
        </w:rPr>
      </w:r>
      <w:r w:rsidRPr="0073434D">
        <w:rPr>
          <w:rFonts w:ascii="David" w:hAnsi="David" w:cs="David"/>
          <w:color w:val="000000"/>
          <w:sz w:val="28"/>
          <w:szCs w:val="28"/>
        </w:rPr>
        <w:fldChar w:fldCharType="separate"/>
      </w:r>
      <w:r w:rsidRPr="0073434D">
        <w:rPr>
          <w:rFonts w:ascii="David" w:hAnsi="David" w:cs="David"/>
          <w:color w:val="0000FF"/>
          <w:sz w:val="28"/>
          <w:szCs w:val="28"/>
          <w:u w:val="single"/>
        </w:rPr>
        <w:t>Nyxoah's</w:t>
      </w:r>
      <w:proofErr w:type="spellEnd"/>
      <w:r w:rsidRPr="0073434D">
        <w:rPr>
          <w:rFonts w:ascii="David" w:hAnsi="David" w:cs="David"/>
          <w:color w:val="0000FF"/>
          <w:sz w:val="28"/>
          <w:szCs w:val="28"/>
          <w:u w:val="single"/>
        </w:rPr>
        <w:t xml:space="preserve"> Q3 2025 Earnings Call Webcast</w:t>
      </w:r>
      <w:r w:rsidRPr="0073434D">
        <w:rPr>
          <w:rFonts w:ascii="David" w:hAnsi="David" w:cs="David"/>
          <w:color w:val="000000"/>
          <w:sz w:val="28"/>
          <w:szCs w:val="28"/>
        </w:rPr>
        <w:fldChar w:fldCharType="end"/>
      </w:r>
      <w:r w:rsidRPr="0073434D">
        <w:rPr>
          <w:rFonts w:ascii="David" w:hAnsi="David" w:cs="David"/>
          <w:color w:val="000000"/>
          <w:sz w:val="28"/>
          <w:szCs w:val="28"/>
        </w:rPr>
        <w:t>. For those not planning to ask a question of management, the Company recommends listening via the webcast.</w:t>
      </w:r>
    </w:p>
    <w:p w14:paraId="4E427EDC" w14:textId="77777777"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t>If you plan to ask a question, please use the following link: </w:t>
      </w:r>
      <w:proofErr w:type="spellStart"/>
      <w:r w:rsidRPr="0073434D">
        <w:rPr>
          <w:rFonts w:ascii="David" w:hAnsi="David" w:cs="David"/>
          <w:color w:val="000000"/>
          <w:sz w:val="28"/>
          <w:szCs w:val="28"/>
        </w:rPr>
        <w:fldChar w:fldCharType="begin"/>
      </w:r>
      <w:r w:rsidRPr="0073434D">
        <w:rPr>
          <w:rFonts w:ascii="David" w:hAnsi="David" w:cs="David"/>
          <w:color w:val="000000"/>
          <w:sz w:val="28"/>
          <w:szCs w:val="28"/>
        </w:rPr>
        <w:instrText>HYPERLINK "https://www.globenewswire.com/Tracker?data=wll-PyFsis1saHu8tWLcNYULcE_KKP0Ya7sSFyHpDaSiVZhBPplBPQMgztdT72BJ62Gl7LJH1B_JN40ZZEsybNIO4uzpy4gAq-OkC58PVnK7HRr3PcBCnZzFLAuWW_vsqnktNJlPrUhNbAu3bqyvGBq2lp_oishWT_ksuNTkgTqrxh2GJshAzD3JhtfplPTbM2-JdsHV7_TQCtnPeUwq1yLBLIQxT8bxREjH7JqhpVkn5wekYSv4Kw88sOLmou_oT81lo4Y2fPIaEyfgUX0kBD_Vt_vg4Ea7PzhnF40tQTPC0F81Db9ch2bwgx_IQOeBoUk84MfZrRk7QF2-BMgZXZKlZfJSjqqP6ybiY2H7JSbOZFjhq79L28eiTNReQffLHokRv-I2BAnjkPFuwvITCG1w_i1JuSUxugYlKAMNUf4N4IcvUt9rr6sEaeQIQzqLxNuN3S2NUX6VMRaWw3kVxzzRVTxt7ZO3uZpDlgWX_U3U2fPMn1YhHkV3mYmgyboAnaNY_jGFe3Zsrgh50MQqvAqvg0jLL83mWpOHaOmZKGWSScFkfJIA1N0PNzU9CjYyT498oaJC4vlHXCRnIC2WaJ7BsZWs2kBYwfv5RAqX1NoawLpcNRp0Zy5F38NBZq-eoQEMTGbBTcIngnnI3Z4JQ42xFCtYXGQZ1yEjfc1_LgOY-CB1Q04jyweDbqug3NX0ejrE2uHbEa59HZc7Olv9MT6Wx0lffWom8cWiqYeKKXE=" \t "_blank"</w:instrText>
      </w:r>
      <w:r w:rsidRPr="0073434D">
        <w:rPr>
          <w:rFonts w:ascii="David" w:hAnsi="David" w:cs="David"/>
          <w:color w:val="000000"/>
          <w:sz w:val="28"/>
          <w:szCs w:val="28"/>
        </w:rPr>
      </w:r>
      <w:r w:rsidRPr="0073434D">
        <w:rPr>
          <w:rFonts w:ascii="David" w:hAnsi="David" w:cs="David"/>
          <w:color w:val="000000"/>
          <w:sz w:val="28"/>
          <w:szCs w:val="28"/>
        </w:rPr>
        <w:fldChar w:fldCharType="separate"/>
      </w:r>
      <w:r w:rsidRPr="0073434D">
        <w:rPr>
          <w:rFonts w:ascii="David" w:hAnsi="David" w:cs="David"/>
          <w:color w:val="0000FF"/>
          <w:sz w:val="28"/>
          <w:szCs w:val="28"/>
          <w:u w:val="single"/>
        </w:rPr>
        <w:t>Nyxoah's</w:t>
      </w:r>
      <w:proofErr w:type="spellEnd"/>
      <w:r w:rsidRPr="0073434D">
        <w:rPr>
          <w:rFonts w:ascii="David" w:hAnsi="David" w:cs="David"/>
          <w:color w:val="0000FF"/>
          <w:sz w:val="28"/>
          <w:szCs w:val="28"/>
          <w:u w:val="single"/>
        </w:rPr>
        <w:t xml:space="preserve"> Q3 2025 Earnings Call Q&amp;A Line</w:t>
      </w:r>
      <w:r w:rsidRPr="0073434D">
        <w:rPr>
          <w:rFonts w:ascii="David" w:hAnsi="David" w:cs="David"/>
          <w:color w:val="000000"/>
          <w:sz w:val="28"/>
          <w:szCs w:val="28"/>
        </w:rPr>
        <w:fldChar w:fldCharType="end"/>
      </w:r>
      <w:r w:rsidRPr="0073434D">
        <w:rPr>
          <w:rFonts w:ascii="David" w:hAnsi="David" w:cs="David"/>
          <w:color w:val="000000"/>
          <w:sz w:val="28"/>
          <w:szCs w:val="28"/>
        </w:rPr>
        <w:t>. required to join the live call. To ensure you are connected prior to the beginning of the call, the Company suggests registering a minimum of 10 minutes before the start of the call.</w:t>
      </w:r>
    </w:p>
    <w:p w14:paraId="680997D5" w14:textId="77777777"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t>The archived webcast will be available for replay shortly after the close of the call.</w:t>
      </w:r>
    </w:p>
    <w:p w14:paraId="5312C562" w14:textId="77777777"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b/>
          <w:bCs/>
          <w:color w:val="000000"/>
          <w:sz w:val="28"/>
          <w:szCs w:val="28"/>
        </w:rPr>
        <w:t xml:space="preserve">About </w:t>
      </w:r>
      <w:proofErr w:type="spellStart"/>
      <w:r w:rsidRPr="0073434D">
        <w:rPr>
          <w:rFonts w:ascii="David" w:hAnsi="David" w:cs="David"/>
          <w:b/>
          <w:bCs/>
          <w:color w:val="000000"/>
          <w:sz w:val="28"/>
          <w:szCs w:val="28"/>
        </w:rPr>
        <w:t>Nyxoah</w:t>
      </w:r>
      <w:proofErr w:type="spellEnd"/>
    </w:p>
    <w:p w14:paraId="122B15E0" w14:textId="77777777" w:rsidR="0073434D" w:rsidRPr="0073434D" w:rsidRDefault="0073434D" w:rsidP="0073434D">
      <w:pPr>
        <w:bidi w:val="0"/>
        <w:spacing w:before="100" w:beforeAutospacing="1" w:after="100" w:afterAutospacing="1"/>
        <w:jc w:val="both"/>
        <w:rPr>
          <w:rFonts w:ascii="David" w:hAnsi="David" w:cs="David"/>
          <w:color w:val="000000"/>
          <w:sz w:val="28"/>
          <w:szCs w:val="28"/>
        </w:rPr>
      </w:pPr>
      <w:proofErr w:type="spellStart"/>
      <w:r w:rsidRPr="0073434D">
        <w:rPr>
          <w:rFonts w:ascii="David" w:hAnsi="David" w:cs="David"/>
          <w:color w:val="000000"/>
          <w:sz w:val="28"/>
          <w:szCs w:val="28"/>
        </w:rPr>
        <w:t>Nyxoah</w:t>
      </w:r>
      <w:proofErr w:type="spellEnd"/>
      <w:r w:rsidRPr="0073434D">
        <w:rPr>
          <w:rFonts w:ascii="David" w:hAnsi="David" w:cs="David"/>
          <w:color w:val="000000"/>
          <w:sz w:val="28"/>
          <w:szCs w:val="28"/>
        </w:rPr>
        <w:t xml:space="preserve"> is a medical technology company focused on the development and commercialization of innovative solutions to treat OSA. </w:t>
      </w:r>
      <w:proofErr w:type="spellStart"/>
      <w:r w:rsidRPr="0073434D">
        <w:rPr>
          <w:rFonts w:ascii="David" w:hAnsi="David" w:cs="David"/>
          <w:color w:val="000000"/>
          <w:sz w:val="28"/>
          <w:szCs w:val="28"/>
        </w:rPr>
        <w:t>Nyxoah’s</w:t>
      </w:r>
      <w:proofErr w:type="spellEnd"/>
      <w:r w:rsidRPr="0073434D">
        <w:rPr>
          <w:rFonts w:ascii="David" w:hAnsi="David" w:cs="David"/>
          <w:color w:val="000000"/>
          <w:sz w:val="28"/>
          <w:szCs w:val="28"/>
        </w:rPr>
        <w:t xml:space="preserve"> lead solution is the </w:t>
      </w:r>
      <w:proofErr w:type="spellStart"/>
      <w:r w:rsidRPr="0073434D">
        <w:rPr>
          <w:rFonts w:ascii="David" w:hAnsi="David" w:cs="David"/>
          <w:color w:val="000000"/>
          <w:sz w:val="28"/>
          <w:szCs w:val="28"/>
        </w:rPr>
        <w:t>Genio</w:t>
      </w:r>
      <w:proofErr w:type="spellEnd"/>
      <w:r w:rsidRPr="0073434D">
        <w:rPr>
          <w:rFonts w:ascii="David" w:hAnsi="David" w:cs="David"/>
          <w:color w:val="000000"/>
          <w:sz w:val="28"/>
          <w:szCs w:val="28"/>
        </w:rPr>
        <w:t xml:space="preserve"> system, a patient-centered, leadless and battery-free hypoglossal neurostimulation therapy for OSA, the world’s most common sleep disordered breathing condition that is associated with increased mortality risk and cardiovascular comorbidities. </w:t>
      </w:r>
      <w:proofErr w:type="spellStart"/>
      <w:r w:rsidRPr="0073434D">
        <w:rPr>
          <w:rFonts w:ascii="David" w:hAnsi="David" w:cs="David"/>
          <w:color w:val="000000"/>
          <w:sz w:val="28"/>
          <w:szCs w:val="28"/>
        </w:rPr>
        <w:t>Nyxoah</w:t>
      </w:r>
      <w:proofErr w:type="spellEnd"/>
      <w:r w:rsidRPr="0073434D">
        <w:rPr>
          <w:rFonts w:ascii="David" w:hAnsi="David" w:cs="David"/>
          <w:color w:val="000000"/>
          <w:sz w:val="28"/>
          <w:szCs w:val="28"/>
        </w:rPr>
        <w:t xml:space="preserve"> is driven by the vision that OSA patients should enjoy restful nights and feel enabled to live their life to its fullest.</w:t>
      </w:r>
    </w:p>
    <w:p w14:paraId="19F2DA9D" w14:textId="77777777"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t xml:space="preserve">Following the successful completion of the BLAST OSA study, the </w:t>
      </w:r>
      <w:proofErr w:type="spellStart"/>
      <w:r w:rsidRPr="0073434D">
        <w:rPr>
          <w:rFonts w:ascii="David" w:hAnsi="David" w:cs="David"/>
          <w:color w:val="000000"/>
          <w:sz w:val="28"/>
          <w:szCs w:val="28"/>
        </w:rPr>
        <w:t>Genio</w:t>
      </w:r>
      <w:proofErr w:type="spellEnd"/>
      <w:r w:rsidRPr="0073434D">
        <w:rPr>
          <w:rFonts w:ascii="David" w:hAnsi="David" w:cs="David"/>
          <w:color w:val="000000"/>
          <w:sz w:val="28"/>
          <w:szCs w:val="28"/>
        </w:rPr>
        <w:t xml:space="preserve"> system received its European CE Mark in 2019. </w:t>
      </w:r>
      <w:proofErr w:type="spellStart"/>
      <w:r w:rsidRPr="0073434D">
        <w:rPr>
          <w:rFonts w:ascii="David" w:hAnsi="David" w:cs="David"/>
          <w:color w:val="000000"/>
          <w:sz w:val="28"/>
          <w:szCs w:val="28"/>
        </w:rPr>
        <w:t>Nyxoah</w:t>
      </w:r>
      <w:proofErr w:type="spellEnd"/>
      <w:r w:rsidRPr="0073434D">
        <w:rPr>
          <w:rFonts w:ascii="David" w:hAnsi="David" w:cs="David"/>
          <w:color w:val="000000"/>
          <w:sz w:val="28"/>
          <w:szCs w:val="28"/>
        </w:rPr>
        <w:t xml:space="preserve"> completed two successful IPOs: on Euronext Brussels in September 2020 and NASDAQ in July 2021. Following the positive outcomes of the BETTER SLEEP study, </w:t>
      </w:r>
      <w:proofErr w:type="spellStart"/>
      <w:r w:rsidRPr="0073434D">
        <w:rPr>
          <w:rFonts w:ascii="David" w:hAnsi="David" w:cs="David"/>
          <w:color w:val="000000"/>
          <w:sz w:val="28"/>
          <w:szCs w:val="28"/>
        </w:rPr>
        <w:t>Nyxoah</w:t>
      </w:r>
      <w:proofErr w:type="spellEnd"/>
      <w:r w:rsidRPr="0073434D">
        <w:rPr>
          <w:rFonts w:ascii="David" w:hAnsi="David" w:cs="David"/>
          <w:color w:val="000000"/>
          <w:sz w:val="28"/>
          <w:szCs w:val="28"/>
        </w:rPr>
        <w:t xml:space="preserve"> received CE mark approval for the expansion of its therapeutic indications to Complete Concentric Collapse (CCC) patients, currently contraindicated in competitors’ therapy. Additionally, the Company announced positive outcomes from the DREAM IDE pivotal study and receipt of approval from the FDA for a subset of adult patients with moderate to severe OSA with an AHI of greater than or equal to 15 and less than or equal to 65.</w:t>
      </w:r>
    </w:p>
    <w:p w14:paraId="14B98145" w14:textId="77777777"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t>For more information, please visit </w:t>
      </w:r>
      <w:hyperlink r:id="rId9" w:tgtFrame="_blank" w:history="1">
        <w:r w:rsidRPr="0073434D">
          <w:rPr>
            <w:rFonts w:ascii="David" w:hAnsi="David" w:cs="David"/>
            <w:color w:val="0000FF"/>
            <w:sz w:val="28"/>
            <w:szCs w:val="28"/>
            <w:u w:val="single"/>
          </w:rPr>
          <w:t>http://www.nyxoah.com/</w:t>
        </w:r>
      </w:hyperlink>
      <w:hyperlink r:id="rId10" w:tgtFrame="_blank" w:history="1">
        <w:r w:rsidRPr="0073434D">
          <w:rPr>
            <w:rFonts w:ascii="David" w:hAnsi="David" w:cs="David"/>
            <w:color w:val="0000FF"/>
            <w:sz w:val="28"/>
            <w:szCs w:val="28"/>
            <w:u w:val="single"/>
          </w:rPr>
          <w:t>.</w:t>
        </w:r>
      </w:hyperlink>
    </w:p>
    <w:p w14:paraId="2BA0EB71" w14:textId="77777777"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t>Caution – CE marked since 2019. FDA approved in August 2025 as prescription-only device.</w:t>
      </w:r>
    </w:p>
    <w:p w14:paraId="57750A71" w14:textId="77777777"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b/>
          <w:bCs/>
          <w:color w:val="000000"/>
          <w:sz w:val="28"/>
          <w:szCs w:val="28"/>
        </w:rPr>
        <w:t>Forward-looking statements</w:t>
      </w:r>
    </w:p>
    <w:p w14:paraId="401E7A53" w14:textId="77777777" w:rsidR="0073434D" w:rsidRPr="0073434D" w:rsidRDefault="0073434D" w:rsidP="0073434D">
      <w:pPr>
        <w:bidi w:val="0"/>
        <w:spacing w:before="100" w:beforeAutospacing="1" w:after="100" w:afterAutospacing="1"/>
        <w:jc w:val="both"/>
        <w:rPr>
          <w:rFonts w:ascii="David" w:hAnsi="David" w:cs="David"/>
          <w:color w:val="000000"/>
          <w:sz w:val="28"/>
          <w:szCs w:val="28"/>
        </w:rPr>
      </w:pPr>
      <w:r w:rsidRPr="0073434D">
        <w:rPr>
          <w:rFonts w:ascii="David" w:hAnsi="David" w:cs="David"/>
          <w:color w:val="000000"/>
          <w:sz w:val="28"/>
          <w:szCs w:val="28"/>
        </w:rPr>
        <w:t xml:space="preserve">Certain statements, beliefs and opinions in this press release are forward-looking, which reflect the Company’s or, as appropriate, the Company directors’ or managements’ current expectations regarding the </w:t>
      </w:r>
      <w:proofErr w:type="spellStart"/>
      <w:r w:rsidRPr="0073434D">
        <w:rPr>
          <w:rFonts w:ascii="David" w:hAnsi="David" w:cs="David"/>
          <w:color w:val="000000"/>
          <w:sz w:val="28"/>
          <w:szCs w:val="28"/>
        </w:rPr>
        <w:t>Genio</w:t>
      </w:r>
      <w:proofErr w:type="spellEnd"/>
      <w:r w:rsidRPr="0073434D">
        <w:rPr>
          <w:rFonts w:ascii="David" w:hAnsi="David" w:cs="David"/>
          <w:color w:val="000000"/>
          <w:sz w:val="28"/>
          <w:szCs w:val="28"/>
        </w:rPr>
        <w:t xml:space="preserve"> system; the potential advantages of the </w:t>
      </w:r>
      <w:proofErr w:type="spellStart"/>
      <w:r w:rsidRPr="0073434D">
        <w:rPr>
          <w:rFonts w:ascii="David" w:hAnsi="David" w:cs="David"/>
          <w:color w:val="000000"/>
          <w:sz w:val="28"/>
          <w:szCs w:val="28"/>
        </w:rPr>
        <w:t>Genio</w:t>
      </w:r>
      <w:proofErr w:type="spellEnd"/>
      <w:r w:rsidRPr="0073434D">
        <w:rPr>
          <w:rFonts w:ascii="David" w:hAnsi="David" w:cs="David"/>
          <w:color w:val="000000"/>
          <w:sz w:val="28"/>
          <w:szCs w:val="28"/>
        </w:rPr>
        <w:t xml:space="preserve"> system; </w:t>
      </w:r>
      <w:proofErr w:type="spellStart"/>
      <w:r w:rsidRPr="0073434D">
        <w:rPr>
          <w:rFonts w:ascii="David" w:hAnsi="David" w:cs="David"/>
          <w:color w:val="000000"/>
          <w:sz w:val="28"/>
          <w:szCs w:val="28"/>
        </w:rPr>
        <w:t>Nyxoah’s</w:t>
      </w:r>
      <w:proofErr w:type="spellEnd"/>
      <w:r w:rsidRPr="0073434D">
        <w:rPr>
          <w:rFonts w:ascii="David" w:hAnsi="David" w:cs="David"/>
          <w:color w:val="000000"/>
          <w:sz w:val="28"/>
          <w:szCs w:val="28"/>
        </w:rPr>
        <w:t xml:space="preserve"> goals with respect to the potential use of the </w:t>
      </w:r>
      <w:proofErr w:type="spellStart"/>
      <w:r w:rsidRPr="0073434D">
        <w:rPr>
          <w:rFonts w:ascii="David" w:hAnsi="David" w:cs="David"/>
          <w:color w:val="000000"/>
          <w:sz w:val="28"/>
          <w:szCs w:val="28"/>
        </w:rPr>
        <w:t>Genio</w:t>
      </w:r>
      <w:proofErr w:type="spellEnd"/>
      <w:r w:rsidRPr="0073434D">
        <w:rPr>
          <w:rFonts w:ascii="David" w:hAnsi="David" w:cs="David"/>
          <w:color w:val="000000"/>
          <w:sz w:val="28"/>
          <w:szCs w:val="28"/>
        </w:rPr>
        <w:t xml:space="preserve"> system; the Company's commercialization strategy and entrance to the U.S. market; and the Company's results of operations, financial condition, liquidity, performance, prospects, growth and strategies. By their nature, forward-looking statements involve a number of risks, uncertainties, assumptions and other factors that could cause actual results or events to differ materially from those expressed or implied by the forward-looking statements. These risks, uncertainties, assumptions and factors could adversely affect the outcome and financial effects of the plans and events described herein. These risks and uncertainties include, but are not limited to, the risks and uncertainties set forth in the “Risk Factors” section of the Company’s Annual Report on Form 20-F for the year ended December 31, 2024, filed with the Securities and Exchange Commission (“SEC”) on March 20, 2025 and subsequent reports that the Company files with the SEC. A multitude of factors including, but not limited to, changes in demand, competition and technology, can cause actual events, performance or results to differ significantly from any anticipated development. Forward-looking statements contained in this press release regarding past trends or activities are not guarantees of future performance and should not be taken as a representation that such trends or activities will continue in the future. In addition, even if actual results or developments are consistent with the forward-looking statements contained in this press release, those results or developments may not be indicative of results or developments in future periods. No representations and warranties are made as to the accuracy or fairness of such forward-looking statements. As a result, the Company expressly disclaims any obligation or undertaking to release any updates or revisions to any forward-looking statements in this press release as a result of any change in expectations or any change in events, conditions, assumptions or circumstances on which these forward- looking statements are based, except if specifically required to do so by law or regulation. Neither the Company nor its advisers or representatives nor any of its subsidiary undertakings or any such person's officers or employees guarantees that the assumptions underlying such forward-looking statements are free from errors nor does either accept any responsibility for the future accuracy of the forward-looking statements contained in this press release or the actual occurrence of the forecasted developments. You should not place undue reliance on forward-looking statements, which speak only as of the date of this press release.</w:t>
      </w:r>
    </w:p>
    <w:p w14:paraId="6C47A3DB" w14:textId="77777777" w:rsidR="0073434D" w:rsidRPr="0073434D" w:rsidRDefault="0073434D" w:rsidP="0073434D">
      <w:pPr>
        <w:bidi w:val="0"/>
        <w:spacing w:before="100" w:beforeAutospacing="1" w:after="100" w:afterAutospacing="1"/>
        <w:rPr>
          <w:rFonts w:ascii="David" w:hAnsi="David" w:cs="David"/>
          <w:color w:val="000000"/>
          <w:sz w:val="28"/>
          <w:szCs w:val="28"/>
        </w:rPr>
      </w:pPr>
      <w:r w:rsidRPr="0073434D">
        <w:rPr>
          <w:rFonts w:ascii="David" w:hAnsi="David" w:cs="David"/>
          <w:b/>
          <w:bCs/>
          <w:color w:val="000000"/>
          <w:sz w:val="28"/>
          <w:szCs w:val="28"/>
        </w:rPr>
        <w:t>Contacts:</w:t>
      </w:r>
    </w:p>
    <w:p w14:paraId="1366035E" w14:textId="77777777" w:rsidR="0073434D" w:rsidRPr="0073434D" w:rsidRDefault="0073434D" w:rsidP="0073434D">
      <w:pPr>
        <w:bidi w:val="0"/>
        <w:spacing w:before="100" w:beforeAutospacing="1" w:after="100" w:afterAutospacing="1"/>
        <w:rPr>
          <w:rFonts w:ascii="David" w:hAnsi="David" w:cs="David"/>
          <w:color w:val="000000"/>
          <w:sz w:val="28"/>
          <w:szCs w:val="28"/>
        </w:rPr>
      </w:pPr>
      <w:proofErr w:type="spellStart"/>
      <w:r w:rsidRPr="0073434D">
        <w:rPr>
          <w:rFonts w:ascii="David" w:hAnsi="David" w:cs="David"/>
          <w:b/>
          <w:bCs/>
          <w:color w:val="000000"/>
          <w:sz w:val="28"/>
          <w:szCs w:val="28"/>
        </w:rPr>
        <w:t>Nyxoah</w:t>
      </w:r>
      <w:proofErr w:type="spellEnd"/>
      <w:r w:rsidRPr="0073434D">
        <w:rPr>
          <w:rFonts w:ascii="David" w:hAnsi="David" w:cs="David"/>
          <w:color w:val="000000"/>
          <w:sz w:val="28"/>
          <w:szCs w:val="28"/>
        </w:rPr>
        <w:br/>
        <w:t>John Landry, CFO</w:t>
      </w:r>
      <w:r w:rsidRPr="0073434D">
        <w:rPr>
          <w:rFonts w:ascii="David" w:hAnsi="David" w:cs="David"/>
          <w:color w:val="000000"/>
          <w:sz w:val="28"/>
          <w:szCs w:val="28"/>
        </w:rPr>
        <w:br/>
      </w:r>
      <w:hyperlink r:id="rId11" w:tgtFrame="_blank" w:history="1">
        <w:r w:rsidRPr="0073434D">
          <w:rPr>
            <w:rFonts w:ascii="David" w:hAnsi="David" w:cs="David"/>
            <w:color w:val="0000FF"/>
            <w:sz w:val="28"/>
            <w:szCs w:val="28"/>
            <w:u w:val="single"/>
          </w:rPr>
          <w:t>IR@nyxoah.com</w:t>
        </w:r>
      </w:hyperlink>
    </w:p>
    <w:p w14:paraId="4B9BFBE6" w14:textId="77777777" w:rsidR="0073434D" w:rsidRPr="0073434D" w:rsidRDefault="0073434D" w:rsidP="0073434D">
      <w:pPr>
        <w:bidi w:val="0"/>
        <w:spacing w:before="100" w:beforeAutospacing="1" w:after="100" w:afterAutospacing="1"/>
        <w:rPr>
          <w:rFonts w:ascii="David" w:hAnsi="David" w:cs="David"/>
          <w:color w:val="000000"/>
          <w:sz w:val="28"/>
          <w:szCs w:val="28"/>
        </w:rPr>
      </w:pPr>
      <w:r w:rsidRPr="0073434D">
        <w:rPr>
          <w:rFonts w:ascii="David" w:hAnsi="David" w:cs="David"/>
          <w:color w:val="000000"/>
          <w:sz w:val="28"/>
          <w:szCs w:val="28"/>
        </w:rPr>
        <w:t>Rémi Renard</w:t>
      </w:r>
      <w:r w:rsidRPr="0073434D">
        <w:rPr>
          <w:rFonts w:ascii="David" w:hAnsi="David" w:cs="David"/>
          <w:color w:val="000000"/>
          <w:sz w:val="28"/>
          <w:szCs w:val="28"/>
        </w:rPr>
        <w:br/>
        <w:t>Chief Investor Relations &amp; Corporate Communication Officer</w:t>
      </w:r>
      <w:r w:rsidRPr="0073434D">
        <w:rPr>
          <w:rFonts w:ascii="David" w:hAnsi="David" w:cs="David"/>
          <w:color w:val="000000"/>
          <w:sz w:val="28"/>
          <w:szCs w:val="28"/>
        </w:rPr>
        <w:br/>
      </w:r>
      <w:hyperlink r:id="rId12" w:tgtFrame="_blank" w:history="1">
        <w:r w:rsidRPr="0073434D">
          <w:rPr>
            <w:rFonts w:ascii="David" w:hAnsi="David" w:cs="David"/>
            <w:color w:val="0000FF"/>
            <w:sz w:val="28"/>
            <w:szCs w:val="28"/>
            <w:u w:val="single"/>
          </w:rPr>
          <w:t>IR@nyxoah.com</w:t>
        </w:r>
      </w:hyperlink>
    </w:p>
    <w:p w14:paraId="3A1B7CB9" w14:textId="77777777" w:rsidR="0073434D" w:rsidRPr="0073434D" w:rsidRDefault="0073434D" w:rsidP="0073434D">
      <w:pPr>
        <w:bidi w:val="0"/>
        <w:spacing w:before="100" w:beforeAutospacing="1" w:after="100" w:afterAutospacing="1"/>
        <w:rPr>
          <w:rFonts w:ascii="David" w:hAnsi="David" w:cs="David"/>
          <w:color w:val="000000"/>
          <w:sz w:val="28"/>
          <w:szCs w:val="28"/>
        </w:rPr>
      </w:pPr>
      <w:r w:rsidRPr="0073434D">
        <w:rPr>
          <w:rFonts w:ascii="David" w:hAnsi="David" w:cs="David"/>
          <w:b/>
          <w:bCs/>
          <w:color w:val="000000"/>
          <w:sz w:val="28"/>
          <w:szCs w:val="28"/>
        </w:rPr>
        <w:t>Attachment</w:t>
      </w:r>
    </w:p>
    <w:p w14:paraId="4B8C9AB3" w14:textId="77777777" w:rsidR="0073434D" w:rsidRPr="0073434D" w:rsidRDefault="0073434D" w:rsidP="0073434D">
      <w:pPr>
        <w:numPr>
          <w:ilvl w:val="0"/>
          <w:numId w:val="89"/>
        </w:numPr>
        <w:bidi w:val="0"/>
        <w:spacing w:before="100" w:beforeAutospacing="1" w:after="100" w:afterAutospacing="1"/>
        <w:rPr>
          <w:rFonts w:ascii="David" w:hAnsi="David" w:cs="David"/>
          <w:color w:val="000000"/>
          <w:sz w:val="28"/>
          <w:szCs w:val="28"/>
        </w:rPr>
      </w:pPr>
      <w:hyperlink r:id="rId13" w:tgtFrame="_blank" w:history="1">
        <w:r w:rsidRPr="0073434D">
          <w:rPr>
            <w:rFonts w:ascii="David" w:hAnsi="David" w:cs="David"/>
            <w:color w:val="0000FF"/>
            <w:sz w:val="28"/>
            <w:szCs w:val="28"/>
            <w:u w:val="single"/>
          </w:rPr>
          <w:t>ENGLISH_Q3 2025 Earnings PR</w:t>
        </w:r>
      </w:hyperlink>
    </w:p>
    <w:p w14:paraId="1A670243" w14:textId="6C17A888" w:rsidR="000A2AA2" w:rsidRPr="0073434D" w:rsidRDefault="0073434D" w:rsidP="0073434D">
      <w:pPr>
        <w:bidi w:val="0"/>
        <w:rPr>
          <w:rFonts w:ascii="David" w:hAnsi="David" w:cs="David"/>
          <w:sz w:val="28"/>
          <w:szCs w:val="28"/>
        </w:rPr>
      </w:pPr>
      <w:r w:rsidRPr="0073434D">
        <w:rPr>
          <w:rFonts w:ascii="David" w:hAnsi="David" w:cs="David"/>
          <w:noProof/>
          <w:sz w:val="28"/>
          <w:szCs w:val="28"/>
        </w:rPr>
        <w:drawing>
          <wp:inline distT="0" distB="0" distL="0" distR="0" wp14:anchorId="62A94BA3" wp14:editId="13C78B27">
            <wp:extent cx="9525" cy="9525"/>
            <wp:effectExtent l="0" t="0" r="0" b="0"/>
            <wp:docPr id="1"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73434D">
        <w:rPr>
          <w:rFonts w:ascii="David" w:hAnsi="David" w:cs="David"/>
          <w:color w:val="000000"/>
          <w:sz w:val="28"/>
          <w:szCs w:val="28"/>
        </w:rPr>
        <w:br/>
      </w:r>
      <w:r w:rsidRPr="0073434D">
        <w:rPr>
          <w:rFonts w:ascii="David" w:hAnsi="David" w:cs="David"/>
          <w:noProof/>
          <w:sz w:val="28"/>
          <w:szCs w:val="28"/>
        </w:rPr>
        <w:drawing>
          <wp:inline distT="0" distB="0" distL="0" distR="0" wp14:anchorId="69320FF6" wp14:editId="409B446E">
            <wp:extent cx="9525" cy="9525"/>
            <wp:effectExtent l="0" t="0" r="0" b="0"/>
            <wp:docPr id="1831061928"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bookmarkEnd w:id="0"/>
    <w:p w14:paraId="7E7D73CF" w14:textId="77777777" w:rsidR="006D6EBB" w:rsidRPr="0073434D" w:rsidRDefault="006D6EBB" w:rsidP="007C0D9D">
      <w:pPr>
        <w:jc w:val="both"/>
        <w:rPr>
          <w:rFonts w:ascii="David" w:hAnsi="David" w:cs="David"/>
          <w:sz w:val="28"/>
          <w:szCs w:val="28"/>
        </w:rPr>
      </w:pPr>
      <w:r w:rsidRPr="0073434D">
        <w:rPr>
          <w:rFonts w:ascii="David" w:hAnsi="David" w:cs="David"/>
          <w:sz w:val="28"/>
          <w:szCs w:val="28"/>
          <w:rtl/>
        </w:rPr>
        <w:t xml:space="preserve">*** הידיעה מופצת בעולם על ידי חברת התקשורת הבינלאומית </w:t>
      </w:r>
      <w:r w:rsidRPr="0073434D">
        <w:rPr>
          <w:rFonts w:ascii="David" w:hAnsi="David" w:cs="David"/>
          <w:b/>
          <w:bCs/>
          <w:sz w:val="28"/>
          <w:szCs w:val="28"/>
        </w:rPr>
        <w:t>GlobeNewswire</w:t>
      </w:r>
    </w:p>
    <w:p w14:paraId="2DD0CD74" w14:textId="77777777" w:rsidR="007B0F70" w:rsidRPr="0073434D" w:rsidRDefault="007B0F70" w:rsidP="007C0D9D">
      <w:pPr>
        <w:bidi w:val="0"/>
        <w:rPr>
          <w:rFonts w:ascii="David" w:hAnsi="David" w:cs="David"/>
          <w:b/>
          <w:bCs/>
          <w:sz w:val="28"/>
          <w:szCs w:val="28"/>
          <w:u w:val="single"/>
          <w:rtl/>
        </w:rPr>
      </w:pPr>
    </w:p>
    <w:p w14:paraId="3E669B5B" w14:textId="77777777" w:rsidR="00127A9C" w:rsidRPr="0073434D" w:rsidRDefault="006D6EBB" w:rsidP="007C0D9D">
      <w:pPr>
        <w:rPr>
          <w:rFonts w:ascii="David" w:hAnsi="David" w:cs="David"/>
          <w:sz w:val="28"/>
          <w:szCs w:val="28"/>
        </w:rPr>
      </w:pPr>
      <w:r w:rsidRPr="0073434D">
        <w:rPr>
          <w:rFonts w:ascii="David" w:hAnsi="David" w:cs="David"/>
          <w:b/>
          <w:bCs/>
          <w:sz w:val="28"/>
          <w:szCs w:val="28"/>
          <w:u w:val="single"/>
          <w:rtl/>
        </w:rPr>
        <w:t>לפרטים נוספים</w:t>
      </w:r>
      <w:r w:rsidRPr="0073434D">
        <w:rPr>
          <w:rFonts w:ascii="David" w:hAnsi="David" w:cs="David"/>
          <w:sz w:val="28"/>
          <w:szCs w:val="28"/>
          <w:rtl/>
        </w:rPr>
        <w:t>: נוי תקשורת 03-6026026 זהר 052-2641769</w:t>
      </w:r>
      <w:bookmarkEnd w:id="1"/>
      <w:bookmarkEnd w:id="2"/>
      <w:bookmarkEnd w:id="3"/>
      <w:bookmarkEnd w:id="4"/>
    </w:p>
    <w:sectPr w:rsidR="00127A9C" w:rsidRPr="0073434D" w:rsidSect="0076556D">
      <w:headerReference w:type="default" r:id="rId16"/>
      <w:footerReference w:type="default" r:id="rId17"/>
      <w:pgSz w:w="11906" w:h="16838"/>
      <w:pgMar w:top="1296" w:right="1008" w:bottom="1296" w:left="1008" w:header="706" w:footer="706"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8D24C3" w14:textId="77777777" w:rsidR="00646325" w:rsidRDefault="00646325">
      <w:r>
        <w:separator/>
      </w:r>
    </w:p>
  </w:endnote>
  <w:endnote w:type="continuationSeparator" w:id="0">
    <w:p w14:paraId="74D4E8AE" w14:textId="77777777" w:rsidR="00646325" w:rsidRDefault="006463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avid">
    <w:panose1 w:val="020E05020604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7AE271" w14:textId="5DDC7DAB" w:rsidR="00890462" w:rsidRPr="006A5828" w:rsidRDefault="00B74628" w:rsidP="006A5828">
    <w:pPr>
      <w:pStyle w:val="a5"/>
      <w:rPr>
        <w:rtl/>
      </w:rPr>
    </w:pPr>
    <w:r w:rsidRPr="00D979A6">
      <w:rPr>
        <w:noProof/>
      </w:rPr>
      <w:drawing>
        <wp:inline distT="0" distB="0" distL="0" distR="0" wp14:anchorId="7F45D54B" wp14:editId="4A05DC2D">
          <wp:extent cx="6619875" cy="342900"/>
          <wp:effectExtent l="0" t="0" r="0" b="0"/>
          <wp:docPr id="3"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19875" cy="3429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727926" w14:textId="77777777" w:rsidR="00646325" w:rsidRDefault="00646325">
      <w:r>
        <w:separator/>
      </w:r>
    </w:p>
  </w:footnote>
  <w:footnote w:type="continuationSeparator" w:id="0">
    <w:p w14:paraId="040CB9D4" w14:textId="77777777" w:rsidR="00646325" w:rsidRDefault="006463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6B9D3" w14:textId="77777777" w:rsidR="00890462" w:rsidRDefault="00890462" w:rsidP="00B97AD3">
    <w:pPr>
      <w:pStyle w:val="a3"/>
      <w:framePr w:wrap="auto" w:vAnchor="text" w:hAnchor="text" w:xAlign="right" w:y="1"/>
      <w:rPr>
        <w:rStyle w:val="a7"/>
      </w:rPr>
    </w:pPr>
    <w:r>
      <w:rPr>
        <w:rStyle w:val="a7"/>
      </w:rPr>
      <w:fldChar w:fldCharType="begin"/>
    </w:r>
    <w:r>
      <w:rPr>
        <w:rStyle w:val="a7"/>
      </w:rPr>
      <w:instrText xml:space="preserve">PAGE  </w:instrText>
    </w:r>
    <w:r>
      <w:rPr>
        <w:rStyle w:val="a7"/>
      </w:rPr>
      <w:fldChar w:fldCharType="separate"/>
    </w:r>
    <w:r w:rsidR="000A4560">
      <w:rPr>
        <w:rStyle w:val="a7"/>
        <w:noProof/>
        <w:rtl/>
      </w:rPr>
      <w:t>2</w:t>
    </w:r>
    <w:r>
      <w:rPr>
        <w:rStyle w:val="a7"/>
      </w:rPr>
      <w:fldChar w:fldCharType="end"/>
    </w:r>
  </w:p>
  <w:p w14:paraId="2EF3C911" w14:textId="7E048C3B" w:rsidR="00890462" w:rsidRDefault="00B74628" w:rsidP="00711C89">
    <w:pPr>
      <w:pStyle w:val="a3"/>
      <w:ind w:firstLine="360"/>
      <w:jc w:val="right"/>
      <w:rPr>
        <w:rtl/>
      </w:rPr>
    </w:pPr>
    <w:r w:rsidRPr="00D979A6">
      <w:rPr>
        <w:noProof/>
      </w:rPr>
      <w:drawing>
        <wp:inline distT="0" distB="0" distL="0" distR="0" wp14:anchorId="4BA11F98" wp14:editId="57E81899">
          <wp:extent cx="3486150" cy="838200"/>
          <wp:effectExtent l="0" t="0" r="0" b="0"/>
          <wp:docPr id="2"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86150" cy="838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2057C"/>
    <w:multiLevelType w:val="hybridMultilevel"/>
    <w:tmpl w:val="46187982"/>
    <w:lvl w:ilvl="0" w:tplc="C85E75C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4B6379"/>
    <w:multiLevelType w:val="multilevel"/>
    <w:tmpl w:val="E8CA40F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6215054"/>
    <w:multiLevelType w:val="multilevel"/>
    <w:tmpl w:val="D36C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437490"/>
    <w:multiLevelType w:val="multilevel"/>
    <w:tmpl w:val="1004A6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B7787E"/>
    <w:multiLevelType w:val="hybridMultilevel"/>
    <w:tmpl w:val="DB8C19EC"/>
    <w:lvl w:ilvl="0" w:tplc="C85E75C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9C04D8D"/>
    <w:multiLevelType w:val="multilevel"/>
    <w:tmpl w:val="C888A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66E70D"/>
    <w:multiLevelType w:val="multilevel"/>
    <w:tmpl w:val="0B5C0930"/>
    <w:lvl w:ilvl="0">
      <w:start w:val="1"/>
      <w:numFmt w:val="bullet"/>
      <w:lvlText w:val=""/>
      <w:lvlJc w:val="left"/>
      <w:pPr>
        <w:ind w:left="960" w:hanging="360"/>
      </w:pPr>
      <w:rPr>
        <w:rFonts w:ascii="Symbol" w:hAnsi="Symbol" w:hint="default"/>
      </w:r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7" w15:restartNumberingAfterBreak="0">
    <w:nsid w:val="0A837C26"/>
    <w:multiLevelType w:val="multilevel"/>
    <w:tmpl w:val="1B282F8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0CF967E2"/>
    <w:multiLevelType w:val="multilevel"/>
    <w:tmpl w:val="C1FA4806"/>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10194F98"/>
    <w:multiLevelType w:val="multilevel"/>
    <w:tmpl w:val="80CC8B82"/>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15:restartNumberingAfterBreak="0">
    <w:nsid w:val="11AA4C6A"/>
    <w:multiLevelType w:val="multilevel"/>
    <w:tmpl w:val="7B1A07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126B4F83"/>
    <w:multiLevelType w:val="multilevel"/>
    <w:tmpl w:val="1396BC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2E76D56"/>
    <w:multiLevelType w:val="multilevel"/>
    <w:tmpl w:val="95F43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5691172"/>
    <w:multiLevelType w:val="multilevel"/>
    <w:tmpl w:val="EECC9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7D15779"/>
    <w:multiLevelType w:val="multilevel"/>
    <w:tmpl w:val="FBB6026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8DE39B8"/>
    <w:multiLevelType w:val="multilevel"/>
    <w:tmpl w:val="0EB0C1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AB7164D"/>
    <w:multiLevelType w:val="hybridMultilevel"/>
    <w:tmpl w:val="EDAED344"/>
    <w:lvl w:ilvl="0" w:tplc="210AEC90">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1B91532A"/>
    <w:multiLevelType w:val="hybridMultilevel"/>
    <w:tmpl w:val="E2B4AF26"/>
    <w:lvl w:ilvl="0" w:tplc="DEE0C0EE">
      <w:start w:val="1"/>
      <w:numFmt w:val="decimal"/>
      <w:lvlText w:val="%1."/>
      <w:lvlJc w:val="left"/>
      <w:pPr>
        <w:ind w:left="720" w:hanging="360"/>
      </w:pPr>
      <w:rPr>
        <w:rFonts w:ascii="Times New Roman" w:hAnsi="Times New Roman" w:hint="default"/>
        <w:b w:val="0"/>
        <w:bCs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C7D3AD1"/>
    <w:multiLevelType w:val="multilevel"/>
    <w:tmpl w:val="5BE83F74"/>
    <w:lvl w:ilvl="0">
      <w:start w:val="1"/>
      <w:numFmt w:val="bullet"/>
      <w:lvlText w:val=""/>
      <w:lvlJc w:val="left"/>
      <w:pPr>
        <w:ind w:left="960" w:hanging="360"/>
      </w:pPr>
      <w:rPr>
        <w:rFonts w:ascii="Symbol" w:hAnsi="Symbol" w:hint="default"/>
      </w:r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9" w15:restartNumberingAfterBreak="0">
    <w:nsid w:val="1CCF6C38"/>
    <w:multiLevelType w:val="hybridMultilevel"/>
    <w:tmpl w:val="F1783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E031C09"/>
    <w:multiLevelType w:val="multilevel"/>
    <w:tmpl w:val="75DC1E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1" w15:restartNumberingAfterBreak="0">
    <w:nsid w:val="1E6D7818"/>
    <w:multiLevelType w:val="multilevel"/>
    <w:tmpl w:val="2C088F3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21823F3"/>
    <w:multiLevelType w:val="hybridMultilevel"/>
    <w:tmpl w:val="195C2F98"/>
    <w:lvl w:ilvl="0" w:tplc="3BA8F99A">
      <w:numFmt w:val="bullet"/>
      <w:lvlText w:val=""/>
      <w:lvlJc w:val="left"/>
      <w:pPr>
        <w:ind w:left="720" w:hanging="360"/>
      </w:pPr>
      <w:rPr>
        <w:rFonts w:ascii="Symbol" w:eastAsiaTheme="minorHAnsi" w:hAnsi="Symbol" w:cs="David"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23" w15:restartNumberingAfterBreak="0">
    <w:nsid w:val="22863877"/>
    <w:multiLevelType w:val="hybridMultilevel"/>
    <w:tmpl w:val="D600349A"/>
    <w:lvl w:ilvl="0" w:tplc="04090001">
      <w:numFmt w:val="bullet"/>
      <w:lvlText w:val=""/>
      <w:lvlJc w:val="left"/>
      <w:pPr>
        <w:tabs>
          <w:tab w:val="num" w:pos="540"/>
        </w:tabs>
        <w:ind w:left="54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5D92854"/>
    <w:multiLevelType w:val="multilevel"/>
    <w:tmpl w:val="AB80D3D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26D2EE96"/>
    <w:multiLevelType w:val="multilevel"/>
    <w:tmpl w:val="00000000"/>
    <w:lvl w:ilvl="0">
      <w:start w:val="1"/>
      <w:numFmt w:val="decimal"/>
      <w:lvlText w:val="%1."/>
      <w:lvlJc w:val="left"/>
      <w:pPr>
        <w:ind w:left="960" w:hanging="360"/>
      </w:p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6" w15:restartNumberingAfterBreak="0">
    <w:nsid w:val="27924BCE"/>
    <w:multiLevelType w:val="multilevel"/>
    <w:tmpl w:val="AD8C4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28FB50A0"/>
    <w:multiLevelType w:val="multilevel"/>
    <w:tmpl w:val="AC10959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2F8C3F27"/>
    <w:multiLevelType w:val="multilevel"/>
    <w:tmpl w:val="D42E9D80"/>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15:restartNumberingAfterBreak="0">
    <w:nsid w:val="3033438A"/>
    <w:multiLevelType w:val="multilevel"/>
    <w:tmpl w:val="6A4EC52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31D735D4"/>
    <w:multiLevelType w:val="multilevel"/>
    <w:tmpl w:val="989AF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3440164"/>
    <w:multiLevelType w:val="hybridMultilevel"/>
    <w:tmpl w:val="9070C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4DF7C09"/>
    <w:multiLevelType w:val="hybridMultilevel"/>
    <w:tmpl w:val="597EC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5BE7702"/>
    <w:multiLevelType w:val="multilevel"/>
    <w:tmpl w:val="948AEA9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4" w15:restartNumberingAfterBreak="0">
    <w:nsid w:val="363F5CFB"/>
    <w:multiLevelType w:val="hybridMultilevel"/>
    <w:tmpl w:val="B9F46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378E7D93"/>
    <w:multiLevelType w:val="multilevel"/>
    <w:tmpl w:val="87EE3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9FC3B32"/>
    <w:multiLevelType w:val="multilevel"/>
    <w:tmpl w:val="51301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103502"/>
    <w:multiLevelType w:val="hybridMultilevel"/>
    <w:tmpl w:val="950EAD1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3B3063E3"/>
    <w:multiLevelType w:val="hybridMultilevel"/>
    <w:tmpl w:val="B054F9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40D274B8"/>
    <w:multiLevelType w:val="multilevel"/>
    <w:tmpl w:val="034A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4C03D9E"/>
    <w:multiLevelType w:val="multilevel"/>
    <w:tmpl w:val="5052AA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45173A42"/>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46475C91"/>
    <w:multiLevelType w:val="multilevel"/>
    <w:tmpl w:val="DC38F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6C408F1"/>
    <w:multiLevelType w:val="multilevel"/>
    <w:tmpl w:val="5488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71F4236"/>
    <w:multiLevelType w:val="multilevel"/>
    <w:tmpl w:val="9A9E3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79B377B"/>
    <w:multiLevelType w:val="hybridMultilevel"/>
    <w:tmpl w:val="4820495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15:restartNumberingAfterBreak="0">
    <w:nsid w:val="485F1FB5"/>
    <w:multiLevelType w:val="multilevel"/>
    <w:tmpl w:val="38E05A7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8F067C5"/>
    <w:multiLevelType w:val="multilevel"/>
    <w:tmpl w:val="91C00B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9A90B1A"/>
    <w:multiLevelType w:val="multilevel"/>
    <w:tmpl w:val="2FC89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9B84CD4"/>
    <w:multiLevelType w:val="multilevel"/>
    <w:tmpl w:val="FA869FD4"/>
    <w:lvl w:ilvl="0">
      <w:start w:val="1"/>
      <w:numFmt w:val="decimal"/>
      <w:lvlText w:val="%1."/>
      <w:lvlJc w:val="left"/>
      <w:pPr>
        <w:tabs>
          <w:tab w:val="num" w:pos="720"/>
        </w:tabs>
        <w:ind w:left="720" w:hanging="360"/>
      </w:pPr>
      <w:rPr>
        <w:rFonts w:ascii="David" w:eastAsia="Times New Roman" w:hAnsi="David" w:cs="David"/>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4AE85ABC"/>
    <w:multiLevelType w:val="multilevel"/>
    <w:tmpl w:val="57E4572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1" w15:restartNumberingAfterBreak="0">
    <w:nsid w:val="4BB75D9D"/>
    <w:multiLevelType w:val="multilevel"/>
    <w:tmpl w:val="BC6C3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BFE140E"/>
    <w:multiLevelType w:val="multilevel"/>
    <w:tmpl w:val="FD3EFA7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3" w15:restartNumberingAfterBreak="0">
    <w:nsid w:val="4C67437E"/>
    <w:multiLevelType w:val="multilevel"/>
    <w:tmpl w:val="18445C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CDA0DB1"/>
    <w:multiLevelType w:val="multilevel"/>
    <w:tmpl w:val="F454C9B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5" w15:restartNumberingAfterBreak="0">
    <w:nsid w:val="4E013263"/>
    <w:multiLevelType w:val="hybridMultilevel"/>
    <w:tmpl w:val="7A6E736A"/>
    <w:lvl w:ilvl="0" w:tplc="F202C90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EC77A80"/>
    <w:multiLevelType w:val="multilevel"/>
    <w:tmpl w:val="A9C0D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51CD73F0"/>
    <w:multiLevelType w:val="hybridMultilevel"/>
    <w:tmpl w:val="2870A6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8" w15:restartNumberingAfterBreak="0">
    <w:nsid w:val="52A6725D"/>
    <w:multiLevelType w:val="multilevel"/>
    <w:tmpl w:val="410E37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9" w15:restartNumberingAfterBreak="0">
    <w:nsid w:val="53123074"/>
    <w:multiLevelType w:val="hybridMultilevel"/>
    <w:tmpl w:val="F9586D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0" w15:restartNumberingAfterBreak="0">
    <w:nsid w:val="53B3433D"/>
    <w:multiLevelType w:val="multilevel"/>
    <w:tmpl w:val="564891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55E2158A"/>
    <w:multiLevelType w:val="multilevel"/>
    <w:tmpl w:val="2CCAA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6EE2EFE"/>
    <w:multiLevelType w:val="multilevel"/>
    <w:tmpl w:val="EC181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87E33AD"/>
    <w:multiLevelType w:val="multilevel"/>
    <w:tmpl w:val="88AA6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9625986"/>
    <w:multiLevelType w:val="multilevel"/>
    <w:tmpl w:val="778CCD10"/>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5" w15:restartNumberingAfterBreak="0">
    <w:nsid w:val="59E43600"/>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5D23554A"/>
    <w:multiLevelType w:val="multilevel"/>
    <w:tmpl w:val="5ECE8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5E191EC3"/>
    <w:multiLevelType w:val="multilevel"/>
    <w:tmpl w:val="8A9E6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F5453B4"/>
    <w:multiLevelType w:val="hybridMultilevel"/>
    <w:tmpl w:val="838AD1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624E3492"/>
    <w:multiLevelType w:val="multilevel"/>
    <w:tmpl w:val="00000000"/>
    <w:lvl w:ilvl="0">
      <w:start w:val="1"/>
      <w:numFmt w:val="bullet"/>
      <w:lvlText w:val=""/>
      <w:lvlJc w:val="left"/>
      <w:pPr>
        <w:ind w:left="960" w:hanging="360"/>
      </w:pPr>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70" w15:restartNumberingAfterBreak="0">
    <w:nsid w:val="63D115AA"/>
    <w:multiLevelType w:val="multilevel"/>
    <w:tmpl w:val="00000000"/>
    <w:lvl w:ilvl="0">
      <w:start w:val="1"/>
      <w:numFmt w:val="bullet"/>
      <w:lvlText w:val=""/>
      <w:lvlJc w:val="left"/>
      <w:pPr>
        <w:ind w:left="960" w:hanging="360"/>
      </w:pPr>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71" w15:restartNumberingAfterBreak="0">
    <w:nsid w:val="6638510F"/>
    <w:multiLevelType w:val="multilevel"/>
    <w:tmpl w:val="E006ED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72F4ECD"/>
    <w:multiLevelType w:val="hybridMultilevel"/>
    <w:tmpl w:val="B6D0B9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3" w15:restartNumberingAfterBreak="0">
    <w:nsid w:val="686F48C7"/>
    <w:multiLevelType w:val="hybridMultilevel"/>
    <w:tmpl w:val="7DFCD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69070FA6"/>
    <w:multiLevelType w:val="multilevel"/>
    <w:tmpl w:val="F4F4F5D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6B7778B1"/>
    <w:multiLevelType w:val="multilevel"/>
    <w:tmpl w:val="E3D6484C"/>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6" w15:restartNumberingAfterBreak="0">
    <w:nsid w:val="6D314D3F"/>
    <w:multiLevelType w:val="hybridMultilevel"/>
    <w:tmpl w:val="7E66B69C"/>
    <w:lvl w:ilvl="0" w:tplc="0409000D">
      <w:start w:val="1"/>
      <w:numFmt w:val="bullet"/>
      <w:lvlText w:val=""/>
      <w:lvlJc w:val="left"/>
      <w:pPr>
        <w:tabs>
          <w:tab w:val="num" w:pos="540"/>
        </w:tabs>
        <w:ind w:left="54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6F683AA3"/>
    <w:multiLevelType w:val="multilevel"/>
    <w:tmpl w:val="86F6F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7033209E"/>
    <w:multiLevelType w:val="multilevel"/>
    <w:tmpl w:val="15189A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73FC54C4"/>
    <w:multiLevelType w:val="multilevel"/>
    <w:tmpl w:val="58E0171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0" w15:restartNumberingAfterBreak="0">
    <w:nsid w:val="74287CED"/>
    <w:multiLevelType w:val="hybridMultilevel"/>
    <w:tmpl w:val="CAD4A9F4"/>
    <w:lvl w:ilvl="0" w:tplc="C0B0B58C">
      <w:start w:val="1"/>
      <w:numFmt w:val="bullet"/>
      <w:lvlText w:val="-"/>
      <w:lvlJc w:val="left"/>
      <w:pPr>
        <w:ind w:left="784" w:hanging="360"/>
      </w:pPr>
      <w:rPr>
        <w:rFonts w:ascii="Arial" w:hAnsi="Arial" w:cs="Aria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81" w15:restartNumberingAfterBreak="0">
    <w:nsid w:val="75615AC5"/>
    <w:multiLevelType w:val="multilevel"/>
    <w:tmpl w:val="0C28C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65F5B74"/>
    <w:multiLevelType w:val="multilevel"/>
    <w:tmpl w:val="50F4EFC8"/>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3" w15:restartNumberingAfterBreak="0">
    <w:nsid w:val="77750B49"/>
    <w:multiLevelType w:val="multilevel"/>
    <w:tmpl w:val="239A2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7A11271D"/>
    <w:multiLevelType w:val="hybridMultilevel"/>
    <w:tmpl w:val="685C01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7C3971C1"/>
    <w:multiLevelType w:val="multilevel"/>
    <w:tmpl w:val="8A60E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15:restartNumberingAfterBreak="0">
    <w:nsid w:val="7EC070E2"/>
    <w:multiLevelType w:val="multilevel"/>
    <w:tmpl w:val="FA869FD4"/>
    <w:lvl w:ilvl="0">
      <w:start w:val="1"/>
      <w:numFmt w:val="decimal"/>
      <w:lvlText w:val="%1."/>
      <w:lvlJc w:val="left"/>
      <w:pPr>
        <w:tabs>
          <w:tab w:val="num" w:pos="720"/>
        </w:tabs>
        <w:ind w:left="720" w:hanging="360"/>
      </w:pPr>
      <w:rPr>
        <w:rFonts w:ascii="David" w:eastAsia="Times New Roman" w:hAnsi="David" w:cs="David"/>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7EF12E67"/>
    <w:multiLevelType w:val="multilevel"/>
    <w:tmpl w:val="DB026E7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8" w15:restartNumberingAfterBreak="0">
    <w:nsid w:val="7F94173A"/>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658461139">
    <w:abstractNumId w:val="45"/>
  </w:num>
  <w:num w:numId="2" w16cid:durableId="321202877">
    <w:abstractNumId w:val="37"/>
  </w:num>
  <w:num w:numId="3" w16cid:durableId="1338770019">
    <w:abstractNumId w:val="4"/>
  </w:num>
  <w:num w:numId="4" w16cid:durableId="1122192891">
    <w:abstractNumId w:val="0"/>
  </w:num>
  <w:num w:numId="5" w16cid:durableId="1675453290">
    <w:abstractNumId w:val="16"/>
  </w:num>
  <w:num w:numId="6" w16cid:durableId="895243211">
    <w:abstractNumId w:val="23"/>
  </w:num>
  <w:num w:numId="7" w16cid:durableId="1246183833">
    <w:abstractNumId w:val="76"/>
  </w:num>
  <w:num w:numId="8" w16cid:durableId="1537036607">
    <w:abstractNumId w:val="17"/>
  </w:num>
  <w:num w:numId="9" w16cid:durableId="452096286">
    <w:abstractNumId w:val="80"/>
  </w:num>
  <w:num w:numId="10" w16cid:durableId="1715890305">
    <w:abstractNumId w:val="31"/>
  </w:num>
  <w:num w:numId="11" w16cid:durableId="1763447769">
    <w:abstractNumId w:val="32"/>
  </w:num>
  <w:num w:numId="12" w16cid:durableId="623851763">
    <w:abstractNumId w:val="49"/>
  </w:num>
  <w:num w:numId="13" w16cid:durableId="171460050">
    <w:abstractNumId w:val="74"/>
  </w:num>
  <w:num w:numId="14" w16cid:durableId="1388841102">
    <w:abstractNumId w:val="86"/>
  </w:num>
  <w:num w:numId="15" w16cid:durableId="1542866522">
    <w:abstractNumId w:val="26"/>
  </w:num>
  <w:num w:numId="16" w16cid:durableId="654453252">
    <w:abstractNumId w:val="43"/>
  </w:num>
  <w:num w:numId="17" w16cid:durableId="60912186">
    <w:abstractNumId w:val="8"/>
  </w:num>
  <w:num w:numId="18" w16cid:durableId="1691688209">
    <w:abstractNumId w:val="55"/>
  </w:num>
  <w:num w:numId="19" w16cid:durableId="994651848">
    <w:abstractNumId w:val="73"/>
  </w:num>
  <w:num w:numId="20" w16cid:durableId="1620145715">
    <w:abstractNumId w:val="13"/>
  </w:num>
  <w:num w:numId="21" w16cid:durableId="1501770436">
    <w:abstractNumId w:val="42"/>
  </w:num>
  <w:num w:numId="22" w16cid:durableId="1446073436">
    <w:abstractNumId w:val="19"/>
  </w:num>
  <w:num w:numId="23" w16cid:durableId="580986562">
    <w:abstractNumId w:val="68"/>
  </w:num>
  <w:num w:numId="24" w16cid:durableId="307787647">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93298227">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100222318">
    <w:abstractNumId w:val="51"/>
  </w:num>
  <w:num w:numId="27" w16cid:durableId="279655137">
    <w:abstractNumId w:val="53"/>
  </w:num>
  <w:num w:numId="28" w16cid:durableId="657459518">
    <w:abstractNumId w:val="71"/>
  </w:num>
  <w:num w:numId="29" w16cid:durableId="1348680459">
    <w:abstractNumId w:val="5"/>
  </w:num>
  <w:num w:numId="30" w16cid:durableId="1605645938">
    <w:abstractNumId w:val="12"/>
  </w:num>
  <w:num w:numId="31" w16cid:durableId="1766917925">
    <w:abstractNumId w:val="61"/>
  </w:num>
  <w:num w:numId="32" w16cid:durableId="1403873505">
    <w:abstractNumId w:val="67"/>
  </w:num>
  <w:num w:numId="33" w16cid:durableId="1057052083">
    <w:abstractNumId w:val="62"/>
  </w:num>
  <w:num w:numId="34" w16cid:durableId="188186449">
    <w:abstractNumId w:val="2"/>
  </w:num>
  <w:num w:numId="35" w16cid:durableId="628514840">
    <w:abstractNumId w:val="81"/>
  </w:num>
  <w:num w:numId="36" w16cid:durableId="1034887496">
    <w:abstractNumId w:val="48"/>
  </w:num>
  <w:num w:numId="37" w16cid:durableId="274873645">
    <w:abstractNumId w:val="35"/>
  </w:num>
  <w:num w:numId="38" w16cid:durableId="647707597">
    <w:abstractNumId w:val="83"/>
  </w:num>
  <w:num w:numId="39" w16cid:durableId="1687247556">
    <w:abstractNumId w:val="84"/>
  </w:num>
  <w:num w:numId="40" w16cid:durableId="1213730308">
    <w:abstractNumId w:val="41"/>
  </w:num>
  <w:num w:numId="41" w16cid:durableId="1823303979">
    <w:abstractNumId w:val="34"/>
  </w:num>
  <w:num w:numId="42" w16cid:durableId="1994218384">
    <w:abstractNumId w:val="59"/>
  </w:num>
  <w:num w:numId="43" w16cid:durableId="2003963742">
    <w:abstractNumId w:val="57"/>
  </w:num>
  <w:num w:numId="44" w16cid:durableId="1268849361">
    <w:abstractNumId w:val="38"/>
  </w:num>
  <w:num w:numId="45" w16cid:durableId="1891989614">
    <w:abstractNumId w:val="65"/>
  </w:num>
  <w:num w:numId="46" w16cid:durableId="1537082125">
    <w:abstractNumId w:val="88"/>
  </w:num>
  <w:num w:numId="47" w16cid:durableId="945768784">
    <w:abstractNumId w:val="72"/>
  </w:num>
  <w:num w:numId="48" w16cid:durableId="1299799288">
    <w:abstractNumId w:val="15"/>
  </w:num>
  <w:num w:numId="49" w16cid:durableId="1814173187">
    <w:abstractNumId w:val="60"/>
  </w:num>
  <w:num w:numId="50" w16cid:durableId="763846390">
    <w:abstractNumId w:val="47"/>
  </w:num>
  <w:num w:numId="51" w16cid:durableId="1396590251">
    <w:abstractNumId w:val="11"/>
  </w:num>
  <w:num w:numId="52" w16cid:durableId="1407918635">
    <w:abstractNumId w:val="40"/>
  </w:num>
  <w:num w:numId="53" w16cid:durableId="33818484">
    <w:abstractNumId w:val="20"/>
  </w:num>
  <w:num w:numId="54" w16cid:durableId="634919265">
    <w:abstractNumId w:val="1"/>
  </w:num>
  <w:num w:numId="55" w16cid:durableId="1324048792">
    <w:abstractNumId w:val="39"/>
  </w:num>
  <w:num w:numId="56" w16cid:durableId="1179083184">
    <w:abstractNumId w:val="25"/>
  </w:num>
  <w:num w:numId="57" w16cid:durableId="1628584584">
    <w:abstractNumId w:val="70"/>
  </w:num>
  <w:num w:numId="58" w16cid:durableId="588855594">
    <w:abstractNumId w:val="69"/>
  </w:num>
  <w:num w:numId="59" w16cid:durableId="958561378">
    <w:abstractNumId w:val="85"/>
  </w:num>
  <w:num w:numId="60" w16cid:durableId="345401181">
    <w:abstractNumId w:val="28"/>
  </w:num>
  <w:num w:numId="61" w16cid:durableId="447821115">
    <w:abstractNumId w:val="75"/>
  </w:num>
  <w:num w:numId="62" w16cid:durableId="1151874784">
    <w:abstractNumId w:val="82"/>
  </w:num>
  <w:num w:numId="63" w16cid:durableId="2128500603">
    <w:abstractNumId w:val="9"/>
  </w:num>
  <w:num w:numId="64" w16cid:durableId="1588617497">
    <w:abstractNumId w:val="64"/>
  </w:num>
  <w:num w:numId="65" w16cid:durableId="110371930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167098454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281696302">
    <w:abstractNumId w:val="36"/>
  </w:num>
  <w:num w:numId="68" w16cid:durableId="786704187">
    <w:abstractNumId w:val="44"/>
  </w:num>
  <w:num w:numId="69" w16cid:durableId="697701952">
    <w:abstractNumId w:val="56"/>
  </w:num>
  <w:num w:numId="70" w16cid:durableId="1201472333">
    <w:abstractNumId w:val="46"/>
  </w:num>
  <w:num w:numId="71" w16cid:durableId="1649436671">
    <w:abstractNumId w:val="14"/>
  </w:num>
  <w:num w:numId="72" w16cid:durableId="1569993260">
    <w:abstractNumId w:val="33"/>
  </w:num>
  <w:num w:numId="73" w16cid:durableId="1899703290">
    <w:abstractNumId w:val="24"/>
  </w:num>
  <w:num w:numId="74" w16cid:durableId="1601985420">
    <w:abstractNumId w:val="27"/>
  </w:num>
  <w:num w:numId="75" w16cid:durableId="260649266">
    <w:abstractNumId w:val="78"/>
  </w:num>
  <w:num w:numId="76" w16cid:durableId="1017730092">
    <w:abstractNumId w:val="79"/>
  </w:num>
  <w:num w:numId="77" w16cid:durableId="80100613">
    <w:abstractNumId w:val="3"/>
  </w:num>
  <w:num w:numId="78" w16cid:durableId="1595356484">
    <w:abstractNumId w:val="58"/>
  </w:num>
  <w:num w:numId="79" w16cid:durableId="48265203">
    <w:abstractNumId w:val="50"/>
  </w:num>
  <w:num w:numId="80" w16cid:durableId="1013608842">
    <w:abstractNumId w:val="54"/>
  </w:num>
  <w:num w:numId="81" w16cid:durableId="482966543">
    <w:abstractNumId w:val="52"/>
  </w:num>
  <w:num w:numId="82" w16cid:durableId="351539140">
    <w:abstractNumId w:val="87"/>
  </w:num>
  <w:num w:numId="83" w16cid:durableId="76827102">
    <w:abstractNumId w:val="21"/>
  </w:num>
  <w:num w:numId="84" w16cid:durableId="1425226141">
    <w:abstractNumId w:val="7"/>
  </w:num>
  <w:num w:numId="85" w16cid:durableId="1749034846">
    <w:abstractNumId w:val="77"/>
  </w:num>
  <w:num w:numId="86" w16cid:durableId="699670266">
    <w:abstractNumId w:val="22"/>
  </w:num>
  <w:num w:numId="87" w16cid:durableId="1712264906">
    <w:abstractNumId w:val="66"/>
  </w:num>
  <w:num w:numId="88" w16cid:durableId="1172526929">
    <w:abstractNumId w:val="30"/>
  </w:num>
  <w:num w:numId="89" w16cid:durableId="839806528">
    <w:abstractNumId w:val="6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AD3"/>
    <w:rsid w:val="00000825"/>
    <w:rsid w:val="00000F28"/>
    <w:rsid w:val="00001C55"/>
    <w:rsid w:val="00001D3D"/>
    <w:rsid w:val="000038D6"/>
    <w:rsid w:val="00003DFC"/>
    <w:rsid w:val="00004368"/>
    <w:rsid w:val="000045A0"/>
    <w:rsid w:val="0000463B"/>
    <w:rsid w:val="000047E4"/>
    <w:rsid w:val="00005FBF"/>
    <w:rsid w:val="00006111"/>
    <w:rsid w:val="0000651E"/>
    <w:rsid w:val="0000699E"/>
    <w:rsid w:val="000113F7"/>
    <w:rsid w:val="0001241A"/>
    <w:rsid w:val="00012F00"/>
    <w:rsid w:val="00013027"/>
    <w:rsid w:val="0001346D"/>
    <w:rsid w:val="00017588"/>
    <w:rsid w:val="000201DB"/>
    <w:rsid w:val="00021085"/>
    <w:rsid w:val="00021451"/>
    <w:rsid w:val="00021ACF"/>
    <w:rsid w:val="000226D5"/>
    <w:rsid w:val="00022A39"/>
    <w:rsid w:val="0002393A"/>
    <w:rsid w:val="00024EAF"/>
    <w:rsid w:val="00031368"/>
    <w:rsid w:val="000323C9"/>
    <w:rsid w:val="00032D4F"/>
    <w:rsid w:val="00032DB8"/>
    <w:rsid w:val="000331E2"/>
    <w:rsid w:val="00033B80"/>
    <w:rsid w:val="0003525F"/>
    <w:rsid w:val="0003569C"/>
    <w:rsid w:val="00036028"/>
    <w:rsid w:val="0003719C"/>
    <w:rsid w:val="000401F3"/>
    <w:rsid w:val="00041C81"/>
    <w:rsid w:val="000434EA"/>
    <w:rsid w:val="000459FB"/>
    <w:rsid w:val="00046389"/>
    <w:rsid w:val="00046813"/>
    <w:rsid w:val="000507E3"/>
    <w:rsid w:val="00051E3A"/>
    <w:rsid w:val="000528CF"/>
    <w:rsid w:val="000568E7"/>
    <w:rsid w:val="00056B6A"/>
    <w:rsid w:val="00057F65"/>
    <w:rsid w:val="0006017A"/>
    <w:rsid w:val="00062B72"/>
    <w:rsid w:val="00063859"/>
    <w:rsid w:val="00065D95"/>
    <w:rsid w:val="00066AD9"/>
    <w:rsid w:val="000700D9"/>
    <w:rsid w:val="00070501"/>
    <w:rsid w:val="00071171"/>
    <w:rsid w:val="00071606"/>
    <w:rsid w:val="00071624"/>
    <w:rsid w:val="00071B77"/>
    <w:rsid w:val="00071F6E"/>
    <w:rsid w:val="00072669"/>
    <w:rsid w:val="00073A33"/>
    <w:rsid w:val="0007431A"/>
    <w:rsid w:val="00074E8F"/>
    <w:rsid w:val="000803C2"/>
    <w:rsid w:val="00085909"/>
    <w:rsid w:val="00085F35"/>
    <w:rsid w:val="00086503"/>
    <w:rsid w:val="000874C6"/>
    <w:rsid w:val="000879DC"/>
    <w:rsid w:val="00087DDD"/>
    <w:rsid w:val="00090B98"/>
    <w:rsid w:val="00090E36"/>
    <w:rsid w:val="0009180B"/>
    <w:rsid w:val="00093494"/>
    <w:rsid w:val="00093B11"/>
    <w:rsid w:val="00094118"/>
    <w:rsid w:val="00094643"/>
    <w:rsid w:val="000948A8"/>
    <w:rsid w:val="0009521C"/>
    <w:rsid w:val="000955B3"/>
    <w:rsid w:val="00095FF4"/>
    <w:rsid w:val="00096C23"/>
    <w:rsid w:val="000A1452"/>
    <w:rsid w:val="000A2AA2"/>
    <w:rsid w:val="000A2B81"/>
    <w:rsid w:val="000A37FD"/>
    <w:rsid w:val="000A4560"/>
    <w:rsid w:val="000B14C9"/>
    <w:rsid w:val="000B1B5A"/>
    <w:rsid w:val="000B1F9F"/>
    <w:rsid w:val="000B273D"/>
    <w:rsid w:val="000B4060"/>
    <w:rsid w:val="000B40E4"/>
    <w:rsid w:val="000B4B9C"/>
    <w:rsid w:val="000B6BB2"/>
    <w:rsid w:val="000C011A"/>
    <w:rsid w:val="000C08A5"/>
    <w:rsid w:val="000C1F49"/>
    <w:rsid w:val="000C238D"/>
    <w:rsid w:val="000C6A69"/>
    <w:rsid w:val="000C7847"/>
    <w:rsid w:val="000C7F09"/>
    <w:rsid w:val="000D1BC5"/>
    <w:rsid w:val="000D1D31"/>
    <w:rsid w:val="000D318D"/>
    <w:rsid w:val="000D3346"/>
    <w:rsid w:val="000D39B3"/>
    <w:rsid w:val="000D4BF0"/>
    <w:rsid w:val="000D4F62"/>
    <w:rsid w:val="000D6519"/>
    <w:rsid w:val="000D68DB"/>
    <w:rsid w:val="000D7571"/>
    <w:rsid w:val="000E0382"/>
    <w:rsid w:val="000E0C23"/>
    <w:rsid w:val="000E3364"/>
    <w:rsid w:val="000E416A"/>
    <w:rsid w:val="000E5994"/>
    <w:rsid w:val="000E5FC0"/>
    <w:rsid w:val="000E6332"/>
    <w:rsid w:val="000E6DB1"/>
    <w:rsid w:val="000F05DB"/>
    <w:rsid w:val="000F0DD6"/>
    <w:rsid w:val="000F1F58"/>
    <w:rsid w:val="000F204D"/>
    <w:rsid w:val="000F2403"/>
    <w:rsid w:val="000F3D4D"/>
    <w:rsid w:val="000F420D"/>
    <w:rsid w:val="000F52E6"/>
    <w:rsid w:val="000F5448"/>
    <w:rsid w:val="000F6B33"/>
    <w:rsid w:val="000F6DE4"/>
    <w:rsid w:val="000F7750"/>
    <w:rsid w:val="000F7761"/>
    <w:rsid w:val="000F7B88"/>
    <w:rsid w:val="00100715"/>
    <w:rsid w:val="00102673"/>
    <w:rsid w:val="0010271A"/>
    <w:rsid w:val="001067B8"/>
    <w:rsid w:val="00106C58"/>
    <w:rsid w:val="00106E1A"/>
    <w:rsid w:val="00107191"/>
    <w:rsid w:val="001119D1"/>
    <w:rsid w:val="00111B23"/>
    <w:rsid w:val="0011483C"/>
    <w:rsid w:val="001148AA"/>
    <w:rsid w:val="001166E8"/>
    <w:rsid w:val="00120994"/>
    <w:rsid w:val="00123C3A"/>
    <w:rsid w:val="001265BB"/>
    <w:rsid w:val="00127A9C"/>
    <w:rsid w:val="0013094E"/>
    <w:rsid w:val="00131ABE"/>
    <w:rsid w:val="00131DCA"/>
    <w:rsid w:val="001329FA"/>
    <w:rsid w:val="00133774"/>
    <w:rsid w:val="00137086"/>
    <w:rsid w:val="00137C02"/>
    <w:rsid w:val="00140ACC"/>
    <w:rsid w:val="00140D86"/>
    <w:rsid w:val="00141E24"/>
    <w:rsid w:val="001426DE"/>
    <w:rsid w:val="00142C81"/>
    <w:rsid w:val="001430D8"/>
    <w:rsid w:val="00143459"/>
    <w:rsid w:val="001439B9"/>
    <w:rsid w:val="00144711"/>
    <w:rsid w:val="00145E59"/>
    <w:rsid w:val="00147AE5"/>
    <w:rsid w:val="00150310"/>
    <w:rsid w:val="00152287"/>
    <w:rsid w:val="00152DC2"/>
    <w:rsid w:val="00152DF5"/>
    <w:rsid w:val="0015382D"/>
    <w:rsid w:val="00155C38"/>
    <w:rsid w:val="0016058A"/>
    <w:rsid w:val="00160731"/>
    <w:rsid w:val="00160D73"/>
    <w:rsid w:val="001618B9"/>
    <w:rsid w:val="00162055"/>
    <w:rsid w:val="00162074"/>
    <w:rsid w:val="00162EF1"/>
    <w:rsid w:val="00163E61"/>
    <w:rsid w:val="00166F8F"/>
    <w:rsid w:val="00167211"/>
    <w:rsid w:val="001675B4"/>
    <w:rsid w:val="00167BD7"/>
    <w:rsid w:val="0017208D"/>
    <w:rsid w:val="001735FC"/>
    <w:rsid w:val="00174FB0"/>
    <w:rsid w:val="00175EEF"/>
    <w:rsid w:val="001767EB"/>
    <w:rsid w:val="0017688A"/>
    <w:rsid w:val="00177D52"/>
    <w:rsid w:val="00180024"/>
    <w:rsid w:val="00180D19"/>
    <w:rsid w:val="00180FA3"/>
    <w:rsid w:val="00184269"/>
    <w:rsid w:val="00185F7C"/>
    <w:rsid w:val="00186952"/>
    <w:rsid w:val="0018795B"/>
    <w:rsid w:val="00190B25"/>
    <w:rsid w:val="00190E30"/>
    <w:rsid w:val="00191227"/>
    <w:rsid w:val="00191997"/>
    <w:rsid w:val="00191AB2"/>
    <w:rsid w:val="00191BB5"/>
    <w:rsid w:val="00192C42"/>
    <w:rsid w:val="00192DBF"/>
    <w:rsid w:val="0019439C"/>
    <w:rsid w:val="00196523"/>
    <w:rsid w:val="001A01C2"/>
    <w:rsid w:val="001A0405"/>
    <w:rsid w:val="001A1C73"/>
    <w:rsid w:val="001A1C8D"/>
    <w:rsid w:val="001A34A0"/>
    <w:rsid w:val="001B2D06"/>
    <w:rsid w:val="001B3D13"/>
    <w:rsid w:val="001B46CF"/>
    <w:rsid w:val="001B5D8A"/>
    <w:rsid w:val="001B6C50"/>
    <w:rsid w:val="001C04E9"/>
    <w:rsid w:val="001C12B9"/>
    <w:rsid w:val="001C3335"/>
    <w:rsid w:val="001C343B"/>
    <w:rsid w:val="001C38AA"/>
    <w:rsid w:val="001C4C1E"/>
    <w:rsid w:val="001C5195"/>
    <w:rsid w:val="001C68CB"/>
    <w:rsid w:val="001C710D"/>
    <w:rsid w:val="001C7A4D"/>
    <w:rsid w:val="001D1461"/>
    <w:rsid w:val="001D1E13"/>
    <w:rsid w:val="001D26C6"/>
    <w:rsid w:val="001D27F8"/>
    <w:rsid w:val="001D3017"/>
    <w:rsid w:val="001D41EA"/>
    <w:rsid w:val="001D47ED"/>
    <w:rsid w:val="001D5234"/>
    <w:rsid w:val="001D58CE"/>
    <w:rsid w:val="001D6680"/>
    <w:rsid w:val="001E0CDF"/>
    <w:rsid w:val="001E1BF5"/>
    <w:rsid w:val="001E1EEE"/>
    <w:rsid w:val="001E24E9"/>
    <w:rsid w:val="001E358C"/>
    <w:rsid w:val="001E3A84"/>
    <w:rsid w:val="001E3F6A"/>
    <w:rsid w:val="001E4B7B"/>
    <w:rsid w:val="001E542F"/>
    <w:rsid w:val="001E56FB"/>
    <w:rsid w:val="001E6975"/>
    <w:rsid w:val="001E6FFB"/>
    <w:rsid w:val="001E71A3"/>
    <w:rsid w:val="001E71FB"/>
    <w:rsid w:val="001E7C07"/>
    <w:rsid w:val="001F1CEE"/>
    <w:rsid w:val="001F5FB0"/>
    <w:rsid w:val="001F61F9"/>
    <w:rsid w:val="001F7863"/>
    <w:rsid w:val="00200815"/>
    <w:rsid w:val="002009FC"/>
    <w:rsid w:val="00202F51"/>
    <w:rsid w:val="00204EBC"/>
    <w:rsid w:val="00205C0F"/>
    <w:rsid w:val="00205DD8"/>
    <w:rsid w:val="00206E1D"/>
    <w:rsid w:val="002075BC"/>
    <w:rsid w:val="002102D6"/>
    <w:rsid w:val="00210A97"/>
    <w:rsid w:val="0021101D"/>
    <w:rsid w:val="002116E7"/>
    <w:rsid w:val="00211FE2"/>
    <w:rsid w:val="00212FE3"/>
    <w:rsid w:val="00214A0A"/>
    <w:rsid w:val="00215558"/>
    <w:rsid w:val="00221DD9"/>
    <w:rsid w:val="00221FC3"/>
    <w:rsid w:val="00222510"/>
    <w:rsid w:val="00223ADD"/>
    <w:rsid w:val="002247F8"/>
    <w:rsid w:val="00227CBD"/>
    <w:rsid w:val="00227F47"/>
    <w:rsid w:val="0023073E"/>
    <w:rsid w:val="00230FD6"/>
    <w:rsid w:val="00231D51"/>
    <w:rsid w:val="00231DCB"/>
    <w:rsid w:val="00232B6D"/>
    <w:rsid w:val="00235466"/>
    <w:rsid w:val="002413CF"/>
    <w:rsid w:val="0024140F"/>
    <w:rsid w:val="00242F1C"/>
    <w:rsid w:val="0024437D"/>
    <w:rsid w:val="002450CC"/>
    <w:rsid w:val="00245E19"/>
    <w:rsid w:val="00246172"/>
    <w:rsid w:val="00250715"/>
    <w:rsid w:val="00250D36"/>
    <w:rsid w:val="002515EB"/>
    <w:rsid w:val="00252C06"/>
    <w:rsid w:val="00254090"/>
    <w:rsid w:val="002557C8"/>
    <w:rsid w:val="00255CA6"/>
    <w:rsid w:val="002560FC"/>
    <w:rsid w:val="0025695D"/>
    <w:rsid w:val="00256BD1"/>
    <w:rsid w:val="0025789E"/>
    <w:rsid w:val="00260CC6"/>
    <w:rsid w:val="00261319"/>
    <w:rsid w:val="00261AEC"/>
    <w:rsid w:val="002623E9"/>
    <w:rsid w:val="0026294D"/>
    <w:rsid w:val="00262AF9"/>
    <w:rsid w:val="0026362E"/>
    <w:rsid w:val="00264352"/>
    <w:rsid w:val="00264EFB"/>
    <w:rsid w:val="00265DD3"/>
    <w:rsid w:val="00267FF5"/>
    <w:rsid w:val="002707A3"/>
    <w:rsid w:val="00270CFA"/>
    <w:rsid w:val="0027634F"/>
    <w:rsid w:val="00276D75"/>
    <w:rsid w:val="00280138"/>
    <w:rsid w:val="00280CB1"/>
    <w:rsid w:val="00281766"/>
    <w:rsid w:val="00281780"/>
    <w:rsid w:val="00282DF9"/>
    <w:rsid w:val="002851E7"/>
    <w:rsid w:val="00287AD6"/>
    <w:rsid w:val="00292D14"/>
    <w:rsid w:val="00292F02"/>
    <w:rsid w:val="00293E22"/>
    <w:rsid w:val="00294523"/>
    <w:rsid w:val="00295309"/>
    <w:rsid w:val="00296C46"/>
    <w:rsid w:val="00297CCC"/>
    <w:rsid w:val="002A3615"/>
    <w:rsid w:val="002A48F8"/>
    <w:rsid w:val="002A58C2"/>
    <w:rsid w:val="002A76B9"/>
    <w:rsid w:val="002A7711"/>
    <w:rsid w:val="002B03D0"/>
    <w:rsid w:val="002B0DB9"/>
    <w:rsid w:val="002B216F"/>
    <w:rsid w:val="002B2361"/>
    <w:rsid w:val="002B2A65"/>
    <w:rsid w:val="002B3A4F"/>
    <w:rsid w:val="002B3F2C"/>
    <w:rsid w:val="002B4D32"/>
    <w:rsid w:val="002B4EEE"/>
    <w:rsid w:val="002B56D8"/>
    <w:rsid w:val="002B5777"/>
    <w:rsid w:val="002B6C21"/>
    <w:rsid w:val="002C1E73"/>
    <w:rsid w:val="002C2CEF"/>
    <w:rsid w:val="002C3039"/>
    <w:rsid w:val="002C3991"/>
    <w:rsid w:val="002C46D2"/>
    <w:rsid w:val="002C5B89"/>
    <w:rsid w:val="002C69C8"/>
    <w:rsid w:val="002C6D05"/>
    <w:rsid w:val="002C7531"/>
    <w:rsid w:val="002C7975"/>
    <w:rsid w:val="002C7E25"/>
    <w:rsid w:val="002D064D"/>
    <w:rsid w:val="002D1A4F"/>
    <w:rsid w:val="002D421C"/>
    <w:rsid w:val="002D5ED2"/>
    <w:rsid w:val="002D6C7E"/>
    <w:rsid w:val="002D6F91"/>
    <w:rsid w:val="002D7332"/>
    <w:rsid w:val="002E0A80"/>
    <w:rsid w:val="002E2098"/>
    <w:rsid w:val="002E492C"/>
    <w:rsid w:val="002E4988"/>
    <w:rsid w:val="002E7EED"/>
    <w:rsid w:val="002F1426"/>
    <w:rsid w:val="002F3002"/>
    <w:rsid w:val="002F34A4"/>
    <w:rsid w:val="002F34E9"/>
    <w:rsid w:val="002F3DA8"/>
    <w:rsid w:val="002F4292"/>
    <w:rsid w:val="002F45C8"/>
    <w:rsid w:val="002F788A"/>
    <w:rsid w:val="002F7DF6"/>
    <w:rsid w:val="00301D4A"/>
    <w:rsid w:val="003026A8"/>
    <w:rsid w:val="00305715"/>
    <w:rsid w:val="00306312"/>
    <w:rsid w:val="00306CA6"/>
    <w:rsid w:val="00307109"/>
    <w:rsid w:val="003103A3"/>
    <w:rsid w:val="0031192B"/>
    <w:rsid w:val="00312AAA"/>
    <w:rsid w:val="00312EF1"/>
    <w:rsid w:val="00312F62"/>
    <w:rsid w:val="00314499"/>
    <w:rsid w:val="0031548E"/>
    <w:rsid w:val="00315DA1"/>
    <w:rsid w:val="00315F00"/>
    <w:rsid w:val="00316423"/>
    <w:rsid w:val="003176EC"/>
    <w:rsid w:val="00317E62"/>
    <w:rsid w:val="0032007D"/>
    <w:rsid w:val="0032112F"/>
    <w:rsid w:val="00321205"/>
    <w:rsid w:val="00322293"/>
    <w:rsid w:val="003227C3"/>
    <w:rsid w:val="003227C7"/>
    <w:rsid w:val="0032394A"/>
    <w:rsid w:val="00323AC0"/>
    <w:rsid w:val="00325040"/>
    <w:rsid w:val="00325167"/>
    <w:rsid w:val="0032760E"/>
    <w:rsid w:val="00327A07"/>
    <w:rsid w:val="003315B0"/>
    <w:rsid w:val="00331A62"/>
    <w:rsid w:val="00331D3C"/>
    <w:rsid w:val="003325AC"/>
    <w:rsid w:val="003329BB"/>
    <w:rsid w:val="003341CE"/>
    <w:rsid w:val="00335B57"/>
    <w:rsid w:val="0033605A"/>
    <w:rsid w:val="003370B3"/>
    <w:rsid w:val="00342296"/>
    <w:rsid w:val="003424E9"/>
    <w:rsid w:val="0034359C"/>
    <w:rsid w:val="00345D78"/>
    <w:rsid w:val="00346B8D"/>
    <w:rsid w:val="00346C07"/>
    <w:rsid w:val="003473AF"/>
    <w:rsid w:val="00347674"/>
    <w:rsid w:val="00350C99"/>
    <w:rsid w:val="00351D06"/>
    <w:rsid w:val="00352290"/>
    <w:rsid w:val="003568DF"/>
    <w:rsid w:val="00356EF2"/>
    <w:rsid w:val="003570AB"/>
    <w:rsid w:val="00357B9E"/>
    <w:rsid w:val="00360840"/>
    <w:rsid w:val="00360C92"/>
    <w:rsid w:val="00361FBC"/>
    <w:rsid w:val="003621F1"/>
    <w:rsid w:val="003623DD"/>
    <w:rsid w:val="00363A74"/>
    <w:rsid w:val="00364060"/>
    <w:rsid w:val="003642FF"/>
    <w:rsid w:val="00364CA0"/>
    <w:rsid w:val="00365280"/>
    <w:rsid w:val="00365CB0"/>
    <w:rsid w:val="00365FED"/>
    <w:rsid w:val="0036650D"/>
    <w:rsid w:val="0036728B"/>
    <w:rsid w:val="00367923"/>
    <w:rsid w:val="0037145A"/>
    <w:rsid w:val="00371680"/>
    <w:rsid w:val="003719AA"/>
    <w:rsid w:val="00372626"/>
    <w:rsid w:val="00372AF1"/>
    <w:rsid w:val="003735CC"/>
    <w:rsid w:val="00374A29"/>
    <w:rsid w:val="00375F0B"/>
    <w:rsid w:val="00380C9B"/>
    <w:rsid w:val="00382D7E"/>
    <w:rsid w:val="0038349E"/>
    <w:rsid w:val="003871B5"/>
    <w:rsid w:val="0039082F"/>
    <w:rsid w:val="003911AD"/>
    <w:rsid w:val="003921E5"/>
    <w:rsid w:val="00396372"/>
    <w:rsid w:val="00396B1A"/>
    <w:rsid w:val="00397143"/>
    <w:rsid w:val="0039738B"/>
    <w:rsid w:val="00397514"/>
    <w:rsid w:val="003A0127"/>
    <w:rsid w:val="003A217E"/>
    <w:rsid w:val="003A7B03"/>
    <w:rsid w:val="003B05F6"/>
    <w:rsid w:val="003B075E"/>
    <w:rsid w:val="003B143A"/>
    <w:rsid w:val="003B2665"/>
    <w:rsid w:val="003B357A"/>
    <w:rsid w:val="003B40F9"/>
    <w:rsid w:val="003B6330"/>
    <w:rsid w:val="003B7A88"/>
    <w:rsid w:val="003C0CFB"/>
    <w:rsid w:val="003C210E"/>
    <w:rsid w:val="003C24BD"/>
    <w:rsid w:val="003C6C68"/>
    <w:rsid w:val="003D0645"/>
    <w:rsid w:val="003D0E9E"/>
    <w:rsid w:val="003D2282"/>
    <w:rsid w:val="003D4F05"/>
    <w:rsid w:val="003D5D6E"/>
    <w:rsid w:val="003D6BAF"/>
    <w:rsid w:val="003D6E30"/>
    <w:rsid w:val="003D7D1E"/>
    <w:rsid w:val="003E056D"/>
    <w:rsid w:val="003E06E3"/>
    <w:rsid w:val="003E2977"/>
    <w:rsid w:val="003E3E9A"/>
    <w:rsid w:val="003E4824"/>
    <w:rsid w:val="003E4B34"/>
    <w:rsid w:val="003E7DEA"/>
    <w:rsid w:val="003E7F46"/>
    <w:rsid w:val="003F046F"/>
    <w:rsid w:val="003F06FC"/>
    <w:rsid w:val="003F0729"/>
    <w:rsid w:val="003F4C4E"/>
    <w:rsid w:val="003F6B45"/>
    <w:rsid w:val="003F74F6"/>
    <w:rsid w:val="004015F9"/>
    <w:rsid w:val="00401D6F"/>
    <w:rsid w:val="00401FD1"/>
    <w:rsid w:val="0040411F"/>
    <w:rsid w:val="004051D8"/>
    <w:rsid w:val="0040565B"/>
    <w:rsid w:val="00405AD3"/>
    <w:rsid w:val="0040665D"/>
    <w:rsid w:val="00406701"/>
    <w:rsid w:val="00406D59"/>
    <w:rsid w:val="004074DB"/>
    <w:rsid w:val="004078FC"/>
    <w:rsid w:val="00407BD1"/>
    <w:rsid w:val="00410D19"/>
    <w:rsid w:val="00412910"/>
    <w:rsid w:val="00412911"/>
    <w:rsid w:val="00413B3D"/>
    <w:rsid w:val="004140AF"/>
    <w:rsid w:val="004153E6"/>
    <w:rsid w:val="004161CD"/>
    <w:rsid w:val="00420673"/>
    <w:rsid w:val="0042211B"/>
    <w:rsid w:val="00422AB2"/>
    <w:rsid w:val="00422CC0"/>
    <w:rsid w:val="00422E16"/>
    <w:rsid w:val="00424AE5"/>
    <w:rsid w:val="00425931"/>
    <w:rsid w:val="00425A58"/>
    <w:rsid w:val="0043181A"/>
    <w:rsid w:val="00432725"/>
    <w:rsid w:val="0043286B"/>
    <w:rsid w:val="0043291D"/>
    <w:rsid w:val="00433887"/>
    <w:rsid w:val="0043429B"/>
    <w:rsid w:val="00437542"/>
    <w:rsid w:val="004375CC"/>
    <w:rsid w:val="004378E0"/>
    <w:rsid w:val="00437BE6"/>
    <w:rsid w:val="00440370"/>
    <w:rsid w:val="004403BD"/>
    <w:rsid w:val="00440EE3"/>
    <w:rsid w:val="0044384D"/>
    <w:rsid w:val="00443F76"/>
    <w:rsid w:val="00444222"/>
    <w:rsid w:val="0044453C"/>
    <w:rsid w:val="00445856"/>
    <w:rsid w:val="00445C73"/>
    <w:rsid w:val="00445E0F"/>
    <w:rsid w:val="0044624A"/>
    <w:rsid w:val="00446E01"/>
    <w:rsid w:val="00447330"/>
    <w:rsid w:val="004475F1"/>
    <w:rsid w:val="00447E7F"/>
    <w:rsid w:val="004500B4"/>
    <w:rsid w:val="004501B7"/>
    <w:rsid w:val="004556D4"/>
    <w:rsid w:val="0045620B"/>
    <w:rsid w:val="00457869"/>
    <w:rsid w:val="0045793A"/>
    <w:rsid w:val="00457B9D"/>
    <w:rsid w:val="00460480"/>
    <w:rsid w:val="00461903"/>
    <w:rsid w:val="00464889"/>
    <w:rsid w:val="004650F3"/>
    <w:rsid w:val="004703D4"/>
    <w:rsid w:val="0047059E"/>
    <w:rsid w:val="00471B56"/>
    <w:rsid w:val="004749C6"/>
    <w:rsid w:val="004759DF"/>
    <w:rsid w:val="0047735B"/>
    <w:rsid w:val="00480260"/>
    <w:rsid w:val="00481657"/>
    <w:rsid w:val="0048385E"/>
    <w:rsid w:val="00483EC8"/>
    <w:rsid w:val="004844B8"/>
    <w:rsid w:val="004844F6"/>
    <w:rsid w:val="00486B94"/>
    <w:rsid w:val="00486D69"/>
    <w:rsid w:val="00487D58"/>
    <w:rsid w:val="00490A59"/>
    <w:rsid w:val="00491341"/>
    <w:rsid w:val="00491BF5"/>
    <w:rsid w:val="00493304"/>
    <w:rsid w:val="004956B7"/>
    <w:rsid w:val="00496369"/>
    <w:rsid w:val="00496534"/>
    <w:rsid w:val="00497DAE"/>
    <w:rsid w:val="004A01A7"/>
    <w:rsid w:val="004A20D7"/>
    <w:rsid w:val="004A35C6"/>
    <w:rsid w:val="004A3CB2"/>
    <w:rsid w:val="004A52B0"/>
    <w:rsid w:val="004A5AEF"/>
    <w:rsid w:val="004A6F55"/>
    <w:rsid w:val="004B0075"/>
    <w:rsid w:val="004B0461"/>
    <w:rsid w:val="004B0842"/>
    <w:rsid w:val="004B0A8D"/>
    <w:rsid w:val="004B0BC7"/>
    <w:rsid w:val="004B1A1C"/>
    <w:rsid w:val="004B2CA6"/>
    <w:rsid w:val="004B3D3C"/>
    <w:rsid w:val="004B4C98"/>
    <w:rsid w:val="004B5224"/>
    <w:rsid w:val="004B5B5E"/>
    <w:rsid w:val="004B7212"/>
    <w:rsid w:val="004B76AC"/>
    <w:rsid w:val="004B7EEA"/>
    <w:rsid w:val="004C24DD"/>
    <w:rsid w:val="004C277B"/>
    <w:rsid w:val="004C2ECC"/>
    <w:rsid w:val="004C4014"/>
    <w:rsid w:val="004C42B8"/>
    <w:rsid w:val="004C4749"/>
    <w:rsid w:val="004D0FFB"/>
    <w:rsid w:val="004D1D52"/>
    <w:rsid w:val="004D2509"/>
    <w:rsid w:val="004D320F"/>
    <w:rsid w:val="004D34B5"/>
    <w:rsid w:val="004D3FD3"/>
    <w:rsid w:val="004D4174"/>
    <w:rsid w:val="004D4850"/>
    <w:rsid w:val="004D59D9"/>
    <w:rsid w:val="004D6287"/>
    <w:rsid w:val="004D71D6"/>
    <w:rsid w:val="004E0D3E"/>
    <w:rsid w:val="004E1996"/>
    <w:rsid w:val="004E30F4"/>
    <w:rsid w:val="004E38A1"/>
    <w:rsid w:val="004E47D3"/>
    <w:rsid w:val="004E69BE"/>
    <w:rsid w:val="004E731F"/>
    <w:rsid w:val="004F1B74"/>
    <w:rsid w:val="004F252A"/>
    <w:rsid w:val="004F2544"/>
    <w:rsid w:val="004F4B07"/>
    <w:rsid w:val="004F4C4F"/>
    <w:rsid w:val="004F570A"/>
    <w:rsid w:val="004F72E7"/>
    <w:rsid w:val="004F7410"/>
    <w:rsid w:val="004F79E7"/>
    <w:rsid w:val="005015BA"/>
    <w:rsid w:val="005019AC"/>
    <w:rsid w:val="00503174"/>
    <w:rsid w:val="0050386B"/>
    <w:rsid w:val="00503FB2"/>
    <w:rsid w:val="00504CCE"/>
    <w:rsid w:val="00504E92"/>
    <w:rsid w:val="005054AD"/>
    <w:rsid w:val="00505B91"/>
    <w:rsid w:val="005060E0"/>
    <w:rsid w:val="00506420"/>
    <w:rsid w:val="005103F1"/>
    <w:rsid w:val="00510C39"/>
    <w:rsid w:val="00512061"/>
    <w:rsid w:val="00512691"/>
    <w:rsid w:val="00512B41"/>
    <w:rsid w:val="00512F2E"/>
    <w:rsid w:val="00516D88"/>
    <w:rsid w:val="00517CCE"/>
    <w:rsid w:val="0052004E"/>
    <w:rsid w:val="00520A48"/>
    <w:rsid w:val="00521889"/>
    <w:rsid w:val="00523EE9"/>
    <w:rsid w:val="00523F0E"/>
    <w:rsid w:val="005241F8"/>
    <w:rsid w:val="00524E41"/>
    <w:rsid w:val="00525FF7"/>
    <w:rsid w:val="00526196"/>
    <w:rsid w:val="00527BAF"/>
    <w:rsid w:val="005308DD"/>
    <w:rsid w:val="00531109"/>
    <w:rsid w:val="00531B1C"/>
    <w:rsid w:val="00532033"/>
    <w:rsid w:val="005320A1"/>
    <w:rsid w:val="00534266"/>
    <w:rsid w:val="00534F4D"/>
    <w:rsid w:val="00535705"/>
    <w:rsid w:val="00535EDD"/>
    <w:rsid w:val="00540339"/>
    <w:rsid w:val="005405E0"/>
    <w:rsid w:val="00540761"/>
    <w:rsid w:val="0054180B"/>
    <w:rsid w:val="005426FE"/>
    <w:rsid w:val="00542CBA"/>
    <w:rsid w:val="0054339D"/>
    <w:rsid w:val="00543447"/>
    <w:rsid w:val="0054368C"/>
    <w:rsid w:val="00544FE5"/>
    <w:rsid w:val="00545AF7"/>
    <w:rsid w:val="005468CA"/>
    <w:rsid w:val="0055032E"/>
    <w:rsid w:val="00550845"/>
    <w:rsid w:val="00550FFD"/>
    <w:rsid w:val="005511D5"/>
    <w:rsid w:val="00551368"/>
    <w:rsid w:val="00551AD2"/>
    <w:rsid w:val="00554491"/>
    <w:rsid w:val="00555A23"/>
    <w:rsid w:val="005610E1"/>
    <w:rsid w:val="00561EFF"/>
    <w:rsid w:val="0056347C"/>
    <w:rsid w:val="005635DA"/>
    <w:rsid w:val="00563CEB"/>
    <w:rsid w:val="00564A51"/>
    <w:rsid w:val="0056682F"/>
    <w:rsid w:val="00567E5C"/>
    <w:rsid w:val="005700DC"/>
    <w:rsid w:val="00570CF4"/>
    <w:rsid w:val="00571069"/>
    <w:rsid w:val="0057373B"/>
    <w:rsid w:val="0057401D"/>
    <w:rsid w:val="005747AE"/>
    <w:rsid w:val="00575DC2"/>
    <w:rsid w:val="00576A0E"/>
    <w:rsid w:val="005809AE"/>
    <w:rsid w:val="005810D0"/>
    <w:rsid w:val="005810D4"/>
    <w:rsid w:val="00581ADC"/>
    <w:rsid w:val="00582A69"/>
    <w:rsid w:val="00584B9C"/>
    <w:rsid w:val="00585BFA"/>
    <w:rsid w:val="00586D3B"/>
    <w:rsid w:val="00586DA7"/>
    <w:rsid w:val="0058758C"/>
    <w:rsid w:val="00587CA5"/>
    <w:rsid w:val="0059250C"/>
    <w:rsid w:val="005928A3"/>
    <w:rsid w:val="00594231"/>
    <w:rsid w:val="00594CEE"/>
    <w:rsid w:val="00595815"/>
    <w:rsid w:val="00595EDD"/>
    <w:rsid w:val="00595F86"/>
    <w:rsid w:val="005A02B3"/>
    <w:rsid w:val="005A0B2D"/>
    <w:rsid w:val="005A0D42"/>
    <w:rsid w:val="005A199D"/>
    <w:rsid w:val="005A1D00"/>
    <w:rsid w:val="005A2369"/>
    <w:rsid w:val="005A2832"/>
    <w:rsid w:val="005A5522"/>
    <w:rsid w:val="005A6835"/>
    <w:rsid w:val="005A7065"/>
    <w:rsid w:val="005B044D"/>
    <w:rsid w:val="005B07C0"/>
    <w:rsid w:val="005B14DC"/>
    <w:rsid w:val="005B198F"/>
    <w:rsid w:val="005B28D2"/>
    <w:rsid w:val="005B3067"/>
    <w:rsid w:val="005B56E3"/>
    <w:rsid w:val="005B63BC"/>
    <w:rsid w:val="005B7A40"/>
    <w:rsid w:val="005C100C"/>
    <w:rsid w:val="005C1015"/>
    <w:rsid w:val="005C1BFB"/>
    <w:rsid w:val="005C326A"/>
    <w:rsid w:val="005C3632"/>
    <w:rsid w:val="005C4A20"/>
    <w:rsid w:val="005C60CE"/>
    <w:rsid w:val="005C6225"/>
    <w:rsid w:val="005C6F9E"/>
    <w:rsid w:val="005D188A"/>
    <w:rsid w:val="005D1B60"/>
    <w:rsid w:val="005D2457"/>
    <w:rsid w:val="005D28DC"/>
    <w:rsid w:val="005D35DD"/>
    <w:rsid w:val="005D5562"/>
    <w:rsid w:val="005D56C0"/>
    <w:rsid w:val="005E0D7F"/>
    <w:rsid w:val="005E0FF3"/>
    <w:rsid w:val="005E2667"/>
    <w:rsid w:val="005E2EFA"/>
    <w:rsid w:val="005E41CC"/>
    <w:rsid w:val="005E49DA"/>
    <w:rsid w:val="005E4B78"/>
    <w:rsid w:val="005E6EA7"/>
    <w:rsid w:val="005E6F44"/>
    <w:rsid w:val="005E7248"/>
    <w:rsid w:val="005F04FB"/>
    <w:rsid w:val="005F1B9C"/>
    <w:rsid w:val="005F2960"/>
    <w:rsid w:val="005F4313"/>
    <w:rsid w:val="005F7717"/>
    <w:rsid w:val="00600806"/>
    <w:rsid w:val="006056A5"/>
    <w:rsid w:val="00605D1D"/>
    <w:rsid w:val="00606948"/>
    <w:rsid w:val="00607D36"/>
    <w:rsid w:val="00611041"/>
    <w:rsid w:val="00613DEA"/>
    <w:rsid w:val="00617B00"/>
    <w:rsid w:val="006208D4"/>
    <w:rsid w:val="00620CAF"/>
    <w:rsid w:val="00621E99"/>
    <w:rsid w:val="006226BD"/>
    <w:rsid w:val="00622D50"/>
    <w:rsid w:val="006233D1"/>
    <w:rsid w:val="00623533"/>
    <w:rsid w:val="00623A20"/>
    <w:rsid w:val="00624931"/>
    <w:rsid w:val="00625BE6"/>
    <w:rsid w:val="0062666F"/>
    <w:rsid w:val="0063021A"/>
    <w:rsid w:val="0063099E"/>
    <w:rsid w:val="00630DFE"/>
    <w:rsid w:val="0063170E"/>
    <w:rsid w:val="006319F5"/>
    <w:rsid w:val="00632837"/>
    <w:rsid w:val="00633928"/>
    <w:rsid w:val="00633F5A"/>
    <w:rsid w:val="00633FD3"/>
    <w:rsid w:val="00634A25"/>
    <w:rsid w:val="00634D99"/>
    <w:rsid w:val="006352E7"/>
    <w:rsid w:val="00635359"/>
    <w:rsid w:val="006404C8"/>
    <w:rsid w:val="00641226"/>
    <w:rsid w:val="00641D0E"/>
    <w:rsid w:val="00641DAD"/>
    <w:rsid w:val="006432DA"/>
    <w:rsid w:val="0064573C"/>
    <w:rsid w:val="006461EC"/>
    <w:rsid w:val="00646325"/>
    <w:rsid w:val="0064639E"/>
    <w:rsid w:val="006463F0"/>
    <w:rsid w:val="006467C3"/>
    <w:rsid w:val="00647D09"/>
    <w:rsid w:val="006503C2"/>
    <w:rsid w:val="00651D9A"/>
    <w:rsid w:val="0065211D"/>
    <w:rsid w:val="00652534"/>
    <w:rsid w:val="00653008"/>
    <w:rsid w:val="006536E6"/>
    <w:rsid w:val="00654455"/>
    <w:rsid w:val="0065539D"/>
    <w:rsid w:val="00656443"/>
    <w:rsid w:val="00656E7A"/>
    <w:rsid w:val="00660087"/>
    <w:rsid w:val="00661422"/>
    <w:rsid w:val="00661A60"/>
    <w:rsid w:val="00661A6D"/>
    <w:rsid w:val="00662740"/>
    <w:rsid w:val="00662C56"/>
    <w:rsid w:val="0066482C"/>
    <w:rsid w:val="00664D7D"/>
    <w:rsid w:val="006650E4"/>
    <w:rsid w:val="00666203"/>
    <w:rsid w:val="006676F0"/>
    <w:rsid w:val="0067085B"/>
    <w:rsid w:val="00673AFB"/>
    <w:rsid w:val="00673AFC"/>
    <w:rsid w:val="00674440"/>
    <w:rsid w:val="00675480"/>
    <w:rsid w:val="00681745"/>
    <w:rsid w:val="0068220D"/>
    <w:rsid w:val="00682A17"/>
    <w:rsid w:val="006848CF"/>
    <w:rsid w:val="006919C5"/>
    <w:rsid w:val="00692D13"/>
    <w:rsid w:val="006935B2"/>
    <w:rsid w:val="006937C8"/>
    <w:rsid w:val="0069525D"/>
    <w:rsid w:val="00695BA1"/>
    <w:rsid w:val="00695C0E"/>
    <w:rsid w:val="00695CB6"/>
    <w:rsid w:val="00696A49"/>
    <w:rsid w:val="006A079B"/>
    <w:rsid w:val="006A0EB6"/>
    <w:rsid w:val="006A0FC0"/>
    <w:rsid w:val="006A2A0D"/>
    <w:rsid w:val="006A3233"/>
    <w:rsid w:val="006A5828"/>
    <w:rsid w:val="006A60FF"/>
    <w:rsid w:val="006A6828"/>
    <w:rsid w:val="006A6D4C"/>
    <w:rsid w:val="006A71BA"/>
    <w:rsid w:val="006B063A"/>
    <w:rsid w:val="006B2E1B"/>
    <w:rsid w:val="006B357C"/>
    <w:rsid w:val="006B3FB7"/>
    <w:rsid w:val="006B475F"/>
    <w:rsid w:val="006B4E0D"/>
    <w:rsid w:val="006B576E"/>
    <w:rsid w:val="006C29B0"/>
    <w:rsid w:val="006C4F82"/>
    <w:rsid w:val="006C53C9"/>
    <w:rsid w:val="006C5A2A"/>
    <w:rsid w:val="006D0268"/>
    <w:rsid w:val="006D14F2"/>
    <w:rsid w:val="006D3437"/>
    <w:rsid w:val="006D3C8E"/>
    <w:rsid w:val="006D472B"/>
    <w:rsid w:val="006D4C14"/>
    <w:rsid w:val="006D6328"/>
    <w:rsid w:val="006D6A99"/>
    <w:rsid w:val="006D6EBB"/>
    <w:rsid w:val="006E06D3"/>
    <w:rsid w:val="006E0B59"/>
    <w:rsid w:val="006E1009"/>
    <w:rsid w:val="006E199A"/>
    <w:rsid w:val="006E21CD"/>
    <w:rsid w:val="006E2323"/>
    <w:rsid w:val="006E236D"/>
    <w:rsid w:val="006E2863"/>
    <w:rsid w:val="006E3F17"/>
    <w:rsid w:val="006E43D4"/>
    <w:rsid w:val="006E4EE3"/>
    <w:rsid w:val="006E6597"/>
    <w:rsid w:val="006E67BF"/>
    <w:rsid w:val="006E7FFD"/>
    <w:rsid w:val="006F0DC8"/>
    <w:rsid w:val="006F14CF"/>
    <w:rsid w:val="006F2261"/>
    <w:rsid w:val="00701FE3"/>
    <w:rsid w:val="00702350"/>
    <w:rsid w:val="007027CB"/>
    <w:rsid w:val="00703D89"/>
    <w:rsid w:val="007041A4"/>
    <w:rsid w:val="00704DB1"/>
    <w:rsid w:val="0070537A"/>
    <w:rsid w:val="007069B0"/>
    <w:rsid w:val="007073D1"/>
    <w:rsid w:val="00707CCE"/>
    <w:rsid w:val="00710484"/>
    <w:rsid w:val="00710F71"/>
    <w:rsid w:val="00711BE8"/>
    <w:rsid w:val="00711C89"/>
    <w:rsid w:val="00711D52"/>
    <w:rsid w:val="007121C4"/>
    <w:rsid w:val="00712DDA"/>
    <w:rsid w:val="00712E22"/>
    <w:rsid w:val="007132F5"/>
    <w:rsid w:val="00714393"/>
    <w:rsid w:val="0071488A"/>
    <w:rsid w:val="007148D9"/>
    <w:rsid w:val="00714F7D"/>
    <w:rsid w:val="0071535B"/>
    <w:rsid w:val="00716022"/>
    <w:rsid w:val="00716A83"/>
    <w:rsid w:val="00716DCC"/>
    <w:rsid w:val="007174E5"/>
    <w:rsid w:val="00717E14"/>
    <w:rsid w:val="00717FE0"/>
    <w:rsid w:val="00721DCB"/>
    <w:rsid w:val="00722BAA"/>
    <w:rsid w:val="00723CD6"/>
    <w:rsid w:val="00723E6B"/>
    <w:rsid w:val="0072494D"/>
    <w:rsid w:val="00725787"/>
    <w:rsid w:val="00726332"/>
    <w:rsid w:val="007265C0"/>
    <w:rsid w:val="00726B3E"/>
    <w:rsid w:val="007272D6"/>
    <w:rsid w:val="00731C33"/>
    <w:rsid w:val="00731E3B"/>
    <w:rsid w:val="007339C3"/>
    <w:rsid w:val="0073434D"/>
    <w:rsid w:val="00735306"/>
    <w:rsid w:val="00736577"/>
    <w:rsid w:val="00736782"/>
    <w:rsid w:val="00741135"/>
    <w:rsid w:val="00742164"/>
    <w:rsid w:val="0074347B"/>
    <w:rsid w:val="00745592"/>
    <w:rsid w:val="007455B9"/>
    <w:rsid w:val="007457EA"/>
    <w:rsid w:val="00745D27"/>
    <w:rsid w:val="00745DB7"/>
    <w:rsid w:val="00746087"/>
    <w:rsid w:val="00746700"/>
    <w:rsid w:val="007467BE"/>
    <w:rsid w:val="007533DB"/>
    <w:rsid w:val="0075442C"/>
    <w:rsid w:val="007556DF"/>
    <w:rsid w:val="00755A2A"/>
    <w:rsid w:val="007566BC"/>
    <w:rsid w:val="00756AC7"/>
    <w:rsid w:val="0075756F"/>
    <w:rsid w:val="00760233"/>
    <w:rsid w:val="00760413"/>
    <w:rsid w:val="00760F77"/>
    <w:rsid w:val="00763A03"/>
    <w:rsid w:val="00764205"/>
    <w:rsid w:val="0076494F"/>
    <w:rsid w:val="00765261"/>
    <w:rsid w:val="0076556D"/>
    <w:rsid w:val="00766D96"/>
    <w:rsid w:val="00767C33"/>
    <w:rsid w:val="0077001F"/>
    <w:rsid w:val="007707AD"/>
    <w:rsid w:val="00771E2B"/>
    <w:rsid w:val="00771EF4"/>
    <w:rsid w:val="007721E2"/>
    <w:rsid w:val="00772CC8"/>
    <w:rsid w:val="0077559B"/>
    <w:rsid w:val="00775C89"/>
    <w:rsid w:val="00781431"/>
    <w:rsid w:val="00782FF4"/>
    <w:rsid w:val="00783961"/>
    <w:rsid w:val="007859FE"/>
    <w:rsid w:val="0078607C"/>
    <w:rsid w:val="007860F7"/>
    <w:rsid w:val="0078614E"/>
    <w:rsid w:val="007902BA"/>
    <w:rsid w:val="007903E2"/>
    <w:rsid w:val="00790667"/>
    <w:rsid w:val="0079248B"/>
    <w:rsid w:val="0079291B"/>
    <w:rsid w:val="00793003"/>
    <w:rsid w:val="00793345"/>
    <w:rsid w:val="00793E7C"/>
    <w:rsid w:val="007941FF"/>
    <w:rsid w:val="00794404"/>
    <w:rsid w:val="00794422"/>
    <w:rsid w:val="00794C55"/>
    <w:rsid w:val="00795A6E"/>
    <w:rsid w:val="00795DAA"/>
    <w:rsid w:val="0079665D"/>
    <w:rsid w:val="007A4821"/>
    <w:rsid w:val="007A67CA"/>
    <w:rsid w:val="007B095D"/>
    <w:rsid w:val="007B0AE9"/>
    <w:rsid w:val="007B0F70"/>
    <w:rsid w:val="007B1651"/>
    <w:rsid w:val="007B16A9"/>
    <w:rsid w:val="007B1B01"/>
    <w:rsid w:val="007B22C3"/>
    <w:rsid w:val="007B5CDF"/>
    <w:rsid w:val="007B7E0C"/>
    <w:rsid w:val="007C0735"/>
    <w:rsid w:val="007C0D9D"/>
    <w:rsid w:val="007C193D"/>
    <w:rsid w:val="007C2A72"/>
    <w:rsid w:val="007C3506"/>
    <w:rsid w:val="007C3C95"/>
    <w:rsid w:val="007C3E92"/>
    <w:rsid w:val="007C53E6"/>
    <w:rsid w:val="007C56BF"/>
    <w:rsid w:val="007C67C9"/>
    <w:rsid w:val="007C7C4F"/>
    <w:rsid w:val="007D0166"/>
    <w:rsid w:val="007D53B8"/>
    <w:rsid w:val="007D5B00"/>
    <w:rsid w:val="007D6811"/>
    <w:rsid w:val="007D6868"/>
    <w:rsid w:val="007D7C5B"/>
    <w:rsid w:val="007E04A4"/>
    <w:rsid w:val="007E0875"/>
    <w:rsid w:val="007E3205"/>
    <w:rsid w:val="007E3486"/>
    <w:rsid w:val="007E406A"/>
    <w:rsid w:val="007E4CCD"/>
    <w:rsid w:val="007E60B8"/>
    <w:rsid w:val="007E6611"/>
    <w:rsid w:val="007E6AA3"/>
    <w:rsid w:val="007E74AF"/>
    <w:rsid w:val="007F0136"/>
    <w:rsid w:val="007F2F92"/>
    <w:rsid w:val="007F3257"/>
    <w:rsid w:val="007F4E81"/>
    <w:rsid w:val="007F54CC"/>
    <w:rsid w:val="00800DAA"/>
    <w:rsid w:val="0080151B"/>
    <w:rsid w:val="00801AAD"/>
    <w:rsid w:val="00802038"/>
    <w:rsid w:val="0080236E"/>
    <w:rsid w:val="00802D39"/>
    <w:rsid w:val="00804207"/>
    <w:rsid w:val="00805284"/>
    <w:rsid w:val="008057F4"/>
    <w:rsid w:val="008062D0"/>
    <w:rsid w:val="0080772C"/>
    <w:rsid w:val="00807AB4"/>
    <w:rsid w:val="008108DA"/>
    <w:rsid w:val="00810B26"/>
    <w:rsid w:val="00811451"/>
    <w:rsid w:val="00812CAD"/>
    <w:rsid w:val="008136B3"/>
    <w:rsid w:val="008139AF"/>
    <w:rsid w:val="008149AB"/>
    <w:rsid w:val="00814F61"/>
    <w:rsid w:val="00815C3A"/>
    <w:rsid w:val="00816B63"/>
    <w:rsid w:val="008176F7"/>
    <w:rsid w:val="00817A8F"/>
    <w:rsid w:val="008204DE"/>
    <w:rsid w:val="00820821"/>
    <w:rsid w:val="00820BC7"/>
    <w:rsid w:val="00822441"/>
    <w:rsid w:val="00822F83"/>
    <w:rsid w:val="0082331E"/>
    <w:rsid w:val="00823634"/>
    <w:rsid w:val="0082376A"/>
    <w:rsid w:val="008237FA"/>
    <w:rsid w:val="00824FA7"/>
    <w:rsid w:val="00825097"/>
    <w:rsid w:val="00825C64"/>
    <w:rsid w:val="00825E4B"/>
    <w:rsid w:val="008318A4"/>
    <w:rsid w:val="00833A59"/>
    <w:rsid w:val="008347A6"/>
    <w:rsid w:val="00834D76"/>
    <w:rsid w:val="0084022B"/>
    <w:rsid w:val="008408AC"/>
    <w:rsid w:val="00841DC6"/>
    <w:rsid w:val="00841F06"/>
    <w:rsid w:val="008421B6"/>
    <w:rsid w:val="00845538"/>
    <w:rsid w:val="00846E41"/>
    <w:rsid w:val="00847050"/>
    <w:rsid w:val="00847C37"/>
    <w:rsid w:val="00852189"/>
    <w:rsid w:val="00852D9A"/>
    <w:rsid w:val="00855CDB"/>
    <w:rsid w:val="008565C5"/>
    <w:rsid w:val="0085752C"/>
    <w:rsid w:val="00860D9C"/>
    <w:rsid w:val="008617CE"/>
    <w:rsid w:val="00862681"/>
    <w:rsid w:val="00863231"/>
    <w:rsid w:val="008638A3"/>
    <w:rsid w:val="00863B5D"/>
    <w:rsid w:val="008647D5"/>
    <w:rsid w:val="00864D97"/>
    <w:rsid w:val="0086576C"/>
    <w:rsid w:val="00865A11"/>
    <w:rsid w:val="00866C33"/>
    <w:rsid w:val="00866CE8"/>
    <w:rsid w:val="00867452"/>
    <w:rsid w:val="0087186F"/>
    <w:rsid w:val="008725E9"/>
    <w:rsid w:val="008726E8"/>
    <w:rsid w:val="00872900"/>
    <w:rsid w:val="0087363C"/>
    <w:rsid w:val="00874DA1"/>
    <w:rsid w:val="00876075"/>
    <w:rsid w:val="008772CB"/>
    <w:rsid w:val="00877E93"/>
    <w:rsid w:val="008805A6"/>
    <w:rsid w:val="00881F3D"/>
    <w:rsid w:val="00882B5D"/>
    <w:rsid w:val="00882F4B"/>
    <w:rsid w:val="00883A70"/>
    <w:rsid w:val="00884258"/>
    <w:rsid w:val="00884D3E"/>
    <w:rsid w:val="00884D89"/>
    <w:rsid w:val="00885E84"/>
    <w:rsid w:val="008875DC"/>
    <w:rsid w:val="00890065"/>
    <w:rsid w:val="00890462"/>
    <w:rsid w:val="00890AA5"/>
    <w:rsid w:val="0089233D"/>
    <w:rsid w:val="0089332C"/>
    <w:rsid w:val="00893E21"/>
    <w:rsid w:val="00895368"/>
    <w:rsid w:val="00895849"/>
    <w:rsid w:val="00896D79"/>
    <w:rsid w:val="00897090"/>
    <w:rsid w:val="00897212"/>
    <w:rsid w:val="008972A8"/>
    <w:rsid w:val="008A1A09"/>
    <w:rsid w:val="008A2B36"/>
    <w:rsid w:val="008A2DA8"/>
    <w:rsid w:val="008A340E"/>
    <w:rsid w:val="008A3E70"/>
    <w:rsid w:val="008A4520"/>
    <w:rsid w:val="008A67D3"/>
    <w:rsid w:val="008A6BDB"/>
    <w:rsid w:val="008A767E"/>
    <w:rsid w:val="008A7EC2"/>
    <w:rsid w:val="008B37B6"/>
    <w:rsid w:val="008B565C"/>
    <w:rsid w:val="008B7462"/>
    <w:rsid w:val="008B7CC2"/>
    <w:rsid w:val="008C0817"/>
    <w:rsid w:val="008C081E"/>
    <w:rsid w:val="008C09C6"/>
    <w:rsid w:val="008C1A2C"/>
    <w:rsid w:val="008C1A4B"/>
    <w:rsid w:val="008C1FFC"/>
    <w:rsid w:val="008C2722"/>
    <w:rsid w:val="008C2B45"/>
    <w:rsid w:val="008C32EB"/>
    <w:rsid w:val="008C359B"/>
    <w:rsid w:val="008C3B71"/>
    <w:rsid w:val="008C4675"/>
    <w:rsid w:val="008C4ED1"/>
    <w:rsid w:val="008C69E7"/>
    <w:rsid w:val="008C6FA4"/>
    <w:rsid w:val="008C7C62"/>
    <w:rsid w:val="008C7D71"/>
    <w:rsid w:val="008D03A8"/>
    <w:rsid w:val="008D0C43"/>
    <w:rsid w:val="008D0FDE"/>
    <w:rsid w:val="008D2271"/>
    <w:rsid w:val="008D2B2B"/>
    <w:rsid w:val="008D4387"/>
    <w:rsid w:val="008D70D6"/>
    <w:rsid w:val="008E0434"/>
    <w:rsid w:val="008E1F99"/>
    <w:rsid w:val="008E27DD"/>
    <w:rsid w:val="008E3392"/>
    <w:rsid w:val="008E4EB9"/>
    <w:rsid w:val="008E57E3"/>
    <w:rsid w:val="008F006F"/>
    <w:rsid w:val="008F149C"/>
    <w:rsid w:val="008F15FC"/>
    <w:rsid w:val="008F3817"/>
    <w:rsid w:val="008F63A7"/>
    <w:rsid w:val="008F72B0"/>
    <w:rsid w:val="009004D3"/>
    <w:rsid w:val="009008C3"/>
    <w:rsid w:val="00900EC1"/>
    <w:rsid w:val="0090159D"/>
    <w:rsid w:val="009026A3"/>
    <w:rsid w:val="00904442"/>
    <w:rsid w:val="00904A72"/>
    <w:rsid w:val="00904BC9"/>
    <w:rsid w:val="00905D0E"/>
    <w:rsid w:val="00906435"/>
    <w:rsid w:val="00907028"/>
    <w:rsid w:val="0091278C"/>
    <w:rsid w:val="00912B03"/>
    <w:rsid w:val="00912EBA"/>
    <w:rsid w:val="0091421A"/>
    <w:rsid w:val="009150F4"/>
    <w:rsid w:val="00915456"/>
    <w:rsid w:val="00917AE7"/>
    <w:rsid w:val="00917B0F"/>
    <w:rsid w:val="00924C4D"/>
    <w:rsid w:val="00925256"/>
    <w:rsid w:val="0092629D"/>
    <w:rsid w:val="00926324"/>
    <w:rsid w:val="009265C1"/>
    <w:rsid w:val="00931487"/>
    <w:rsid w:val="009326AE"/>
    <w:rsid w:val="00932822"/>
    <w:rsid w:val="00933CEA"/>
    <w:rsid w:val="00933DEA"/>
    <w:rsid w:val="009346E7"/>
    <w:rsid w:val="00935404"/>
    <w:rsid w:val="0093568A"/>
    <w:rsid w:val="00935C5A"/>
    <w:rsid w:val="00937294"/>
    <w:rsid w:val="00937BEE"/>
    <w:rsid w:val="00941081"/>
    <w:rsid w:val="00942BF9"/>
    <w:rsid w:val="009434DA"/>
    <w:rsid w:val="009435B0"/>
    <w:rsid w:val="00944E42"/>
    <w:rsid w:val="00945935"/>
    <w:rsid w:val="009479DA"/>
    <w:rsid w:val="009503A1"/>
    <w:rsid w:val="009519EB"/>
    <w:rsid w:val="0095211B"/>
    <w:rsid w:val="00953435"/>
    <w:rsid w:val="0095366F"/>
    <w:rsid w:val="0095374E"/>
    <w:rsid w:val="00954153"/>
    <w:rsid w:val="0095438D"/>
    <w:rsid w:val="00955752"/>
    <w:rsid w:val="009560E4"/>
    <w:rsid w:val="009572E9"/>
    <w:rsid w:val="0095744C"/>
    <w:rsid w:val="00960137"/>
    <w:rsid w:val="009608DF"/>
    <w:rsid w:val="009619C2"/>
    <w:rsid w:val="00961CBA"/>
    <w:rsid w:val="00961E80"/>
    <w:rsid w:val="009637EA"/>
    <w:rsid w:val="00963A4B"/>
    <w:rsid w:val="00963D76"/>
    <w:rsid w:val="00963EC0"/>
    <w:rsid w:val="009640F1"/>
    <w:rsid w:val="00964558"/>
    <w:rsid w:val="00964700"/>
    <w:rsid w:val="00964C2E"/>
    <w:rsid w:val="00967A2C"/>
    <w:rsid w:val="00970543"/>
    <w:rsid w:val="00971413"/>
    <w:rsid w:val="00974AE8"/>
    <w:rsid w:val="00975220"/>
    <w:rsid w:val="00975ACD"/>
    <w:rsid w:val="00976984"/>
    <w:rsid w:val="009779C2"/>
    <w:rsid w:val="009818E0"/>
    <w:rsid w:val="009825AB"/>
    <w:rsid w:val="00983296"/>
    <w:rsid w:val="0098372D"/>
    <w:rsid w:val="00983A06"/>
    <w:rsid w:val="00983EF3"/>
    <w:rsid w:val="00985AA4"/>
    <w:rsid w:val="00985C88"/>
    <w:rsid w:val="00986C58"/>
    <w:rsid w:val="00990EDB"/>
    <w:rsid w:val="0099285F"/>
    <w:rsid w:val="00992C6C"/>
    <w:rsid w:val="00992F7A"/>
    <w:rsid w:val="00993043"/>
    <w:rsid w:val="0099372F"/>
    <w:rsid w:val="00994025"/>
    <w:rsid w:val="00994859"/>
    <w:rsid w:val="00995469"/>
    <w:rsid w:val="00995633"/>
    <w:rsid w:val="00997594"/>
    <w:rsid w:val="009977A9"/>
    <w:rsid w:val="009A0906"/>
    <w:rsid w:val="009A090A"/>
    <w:rsid w:val="009A0A4B"/>
    <w:rsid w:val="009A16A7"/>
    <w:rsid w:val="009A21F7"/>
    <w:rsid w:val="009A5A4C"/>
    <w:rsid w:val="009A6149"/>
    <w:rsid w:val="009A6EDA"/>
    <w:rsid w:val="009A6FC6"/>
    <w:rsid w:val="009A7740"/>
    <w:rsid w:val="009B02D0"/>
    <w:rsid w:val="009B393F"/>
    <w:rsid w:val="009B5D88"/>
    <w:rsid w:val="009B6EAB"/>
    <w:rsid w:val="009B78C7"/>
    <w:rsid w:val="009C191D"/>
    <w:rsid w:val="009C2742"/>
    <w:rsid w:val="009C3D38"/>
    <w:rsid w:val="009C4110"/>
    <w:rsid w:val="009C41AE"/>
    <w:rsid w:val="009C62BA"/>
    <w:rsid w:val="009C645D"/>
    <w:rsid w:val="009C6C47"/>
    <w:rsid w:val="009C7330"/>
    <w:rsid w:val="009D047D"/>
    <w:rsid w:val="009D0D0C"/>
    <w:rsid w:val="009D1149"/>
    <w:rsid w:val="009D1319"/>
    <w:rsid w:val="009D2446"/>
    <w:rsid w:val="009D4A0F"/>
    <w:rsid w:val="009D4C76"/>
    <w:rsid w:val="009D50E5"/>
    <w:rsid w:val="009D6B99"/>
    <w:rsid w:val="009D6FB6"/>
    <w:rsid w:val="009D7073"/>
    <w:rsid w:val="009E0973"/>
    <w:rsid w:val="009E0F0D"/>
    <w:rsid w:val="009E16CC"/>
    <w:rsid w:val="009E2E6C"/>
    <w:rsid w:val="009E3BF8"/>
    <w:rsid w:val="009E4488"/>
    <w:rsid w:val="009E4536"/>
    <w:rsid w:val="009E50DB"/>
    <w:rsid w:val="009E5B20"/>
    <w:rsid w:val="009E60D4"/>
    <w:rsid w:val="009E7A3B"/>
    <w:rsid w:val="009F07EA"/>
    <w:rsid w:val="009F0AB6"/>
    <w:rsid w:val="009F1C7D"/>
    <w:rsid w:val="009F2D63"/>
    <w:rsid w:val="009F36C0"/>
    <w:rsid w:val="009F3A18"/>
    <w:rsid w:val="009F3A2F"/>
    <w:rsid w:val="009F3CED"/>
    <w:rsid w:val="009F4C97"/>
    <w:rsid w:val="009F6A9A"/>
    <w:rsid w:val="009F6F4E"/>
    <w:rsid w:val="009F6F5E"/>
    <w:rsid w:val="009F70C4"/>
    <w:rsid w:val="009F7406"/>
    <w:rsid w:val="009F77DC"/>
    <w:rsid w:val="009F7B6C"/>
    <w:rsid w:val="00A01595"/>
    <w:rsid w:val="00A01EA4"/>
    <w:rsid w:val="00A0287A"/>
    <w:rsid w:val="00A02EB2"/>
    <w:rsid w:val="00A030BC"/>
    <w:rsid w:val="00A03771"/>
    <w:rsid w:val="00A03D2D"/>
    <w:rsid w:val="00A03E00"/>
    <w:rsid w:val="00A03FD6"/>
    <w:rsid w:val="00A04617"/>
    <w:rsid w:val="00A04714"/>
    <w:rsid w:val="00A054E8"/>
    <w:rsid w:val="00A066ED"/>
    <w:rsid w:val="00A070B9"/>
    <w:rsid w:val="00A1056A"/>
    <w:rsid w:val="00A10A94"/>
    <w:rsid w:val="00A11817"/>
    <w:rsid w:val="00A1181A"/>
    <w:rsid w:val="00A1228A"/>
    <w:rsid w:val="00A126B1"/>
    <w:rsid w:val="00A131BE"/>
    <w:rsid w:val="00A13360"/>
    <w:rsid w:val="00A13B44"/>
    <w:rsid w:val="00A13E22"/>
    <w:rsid w:val="00A216D2"/>
    <w:rsid w:val="00A230C7"/>
    <w:rsid w:val="00A233B4"/>
    <w:rsid w:val="00A2534A"/>
    <w:rsid w:val="00A25CE1"/>
    <w:rsid w:val="00A2652B"/>
    <w:rsid w:val="00A30A42"/>
    <w:rsid w:val="00A31548"/>
    <w:rsid w:val="00A31EDB"/>
    <w:rsid w:val="00A3274E"/>
    <w:rsid w:val="00A328F7"/>
    <w:rsid w:val="00A342CB"/>
    <w:rsid w:val="00A35CAB"/>
    <w:rsid w:val="00A36347"/>
    <w:rsid w:val="00A36AF8"/>
    <w:rsid w:val="00A36C63"/>
    <w:rsid w:val="00A37BDE"/>
    <w:rsid w:val="00A43D45"/>
    <w:rsid w:val="00A45520"/>
    <w:rsid w:val="00A46243"/>
    <w:rsid w:val="00A50EE3"/>
    <w:rsid w:val="00A50F05"/>
    <w:rsid w:val="00A51368"/>
    <w:rsid w:val="00A53F68"/>
    <w:rsid w:val="00A55A5F"/>
    <w:rsid w:val="00A61D06"/>
    <w:rsid w:val="00A61DA4"/>
    <w:rsid w:val="00A62768"/>
    <w:rsid w:val="00A64C2B"/>
    <w:rsid w:val="00A65775"/>
    <w:rsid w:val="00A65D0E"/>
    <w:rsid w:val="00A66BD3"/>
    <w:rsid w:val="00A66E47"/>
    <w:rsid w:val="00A70495"/>
    <w:rsid w:val="00A70A3E"/>
    <w:rsid w:val="00A70E1B"/>
    <w:rsid w:val="00A720B4"/>
    <w:rsid w:val="00A720FD"/>
    <w:rsid w:val="00A72354"/>
    <w:rsid w:val="00A7397F"/>
    <w:rsid w:val="00A73B75"/>
    <w:rsid w:val="00A75DD4"/>
    <w:rsid w:val="00A763F1"/>
    <w:rsid w:val="00A766AB"/>
    <w:rsid w:val="00A831AC"/>
    <w:rsid w:val="00A84F0C"/>
    <w:rsid w:val="00A866E0"/>
    <w:rsid w:val="00A8706E"/>
    <w:rsid w:val="00A874BA"/>
    <w:rsid w:val="00A87A40"/>
    <w:rsid w:val="00A90FBC"/>
    <w:rsid w:val="00A922AB"/>
    <w:rsid w:val="00A93890"/>
    <w:rsid w:val="00A93E4C"/>
    <w:rsid w:val="00A95673"/>
    <w:rsid w:val="00A971B7"/>
    <w:rsid w:val="00A97E6C"/>
    <w:rsid w:val="00AA12FE"/>
    <w:rsid w:val="00AA1B62"/>
    <w:rsid w:val="00AA246B"/>
    <w:rsid w:val="00AA2F7E"/>
    <w:rsid w:val="00AA37CE"/>
    <w:rsid w:val="00AA4FA2"/>
    <w:rsid w:val="00AA5419"/>
    <w:rsid w:val="00AA60D5"/>
    <w:rsid w:val="00AB268D"/>
    <w:rsid w:val="00AB2D5E"/>
    <w:rsid w:val="00AB3AA6"/>
    <w:rsid w:val="00AB4184"/>
    <w:rsid w:val="00AB4566"/>
    <w:rsid w:val="00AB55EA"/>
    <w:rsid w:val="00AB575B"/>
    <w:rsid w:val="00AB59AD"/>
    <w:rsid w:val="00AB70AE"/>
    <w:rsid w:val="00AC0E54"/>
    <w:rsid w:val="00AC1FE8"/>
    <w:rsid w:val="00AC40E7"/>
    <w:rsid w:val="00AC5517"/>
    <w:rsid w:val="00AC6341"/>
    <w:rsid w:val="00AC770D"/>
    <w:rsid w:val="00AD1BEC"/>
    <w:rsid w:val="00AD2B8A"/>
    <w:rsid w:val="00AD34F2"/>
    <w:rsid w:val="00AD382F"/>
    <w:rsid w:val="00AD42E9"/>
    <w:rsid w:val="00AD49CB"/>
    <w:rsid w:val="00AD54C2"/>
    <w:rsid w:val="00AD6C0B"/>
    <w:rsid w:val="00AE10AC"/>
    <w:rsid w:val="00AE35E4"/>
    <w:rsid w:val="00AE4104"/>
    <w:rsid w:val="00AE4A4C"/>
    <w:rsid w:val="00AE5226"/>
    <w:rsid w:val="00AE70CB"/>
    <w:rsid w:val="00AE7B3A"/>
    <w:rsid w:val="00AF0020"/>
    <w:rsid w:val="00AF0F9B"/>
    <w:rsid w:val="00AF2140"/>
    <w:rsid w:val="00AF29E5"/>
    <w:rsid w:val="00AF46F4"/>
    <w:rsid w:val="00AF4A85"/>
    <w:rsid w:val="00AF58F4"/>
    <w:rsid w:val="00AF78BB"/>
    <w:rsid w:val="00B00023"/>
    <w:rsid w:val="00B01D9F"/>
    <w:rsid w:val="00B0249E"/>
    <w:rsid w:val="00B02A24"/>
    <w:rsid w:val="00B03811"/>
    <w:rsid w:val="00B04B8A"/>
    <w:rsid w:val="00B05270"/>
    <w:rsid w:val="00B05472"/>
    <w:rsid w:val="00B065E5"/>
    <w:rsid w:val="00B10ED2"/>
    <w:rsid w:val="00B11AF7"/>
    <w:rsid w:val="00B11F73"/>
    <w:rsid w:val="00B15A6C"/>
    <w:rsid w:val="00B161F5"/>
    <w:rsid w:val="00B1732E"/>
    <w:rsid w:val="00B1757D"/>
    <w:rsid w:val="00B17AC0"/>
    <w:rsid w:val="00B201E0"/>
    <w:rsid w:val="00B2164F"/>
    <w:rsid w:val="00B25A6D"/>
    <w:rsid w:val="00B26C67"/>
    <w:rsid w:val="00B26D9C"/>
    <w:rsid w:val="00B27A28"/>
    <w:rsid w:val="00B3166A"/>
    <w:rsid w:val="00B320C8"/>
    <w:rsid w:val="00B33AB5"/>
    <w:rsid w:val="00B3454F"/>
    <w:rsid w:val="00B35896"/>
    <w:rsid w:val="00B358B6"/>
    <w:rsid w:val="00B43932"/>
    <w:rsid w:val="00B45303"/>
    <w:rsid w:val="00B45F18"/>
    <w:rsid w:val="00B47A0C"/>
    <w:rsid w:val="00B5037C"/>
    <w:rsid w:val="00B510BA"/>
    <w:rsid w:val="00B51CDA"/>
    <w:rsid w:val="00B521B7"/>
    <w:rsid w:val="00B536EB"/>
    <w:rsid w:val="00B54A77"/>
    <w:rsid w:val="00B56DF5"/>
    <w:rsid w:val="00B57941"/>
    <w:rsid w:val="00B57BE0"/>
    <w:rsid w:val="00B60305"/>
    <w:rsid w:val="00B607E1"/>
    <w:rsid w:val="00B60B4A"/>
    <w:rsid w:val="00B616DF"/>
    <w:rsid w:val="00B64235"/>
    <w:rsid w:val="00B64F98"/>
    <w:rsid w:val="00B65AAB"/>
    <w:rsid w:val="00B67D68"/>
    <w:rsid w:val="00B67E0B"/>
    <w:rsid w:val="00B70BBA"/>
    <w:rsid w:val="00B711D4"/>
    <w:rsid w:val="00B725B8"/>
    <w:rsid w:val="00B72D6D"/>
    <w:rsid w:val="00B72EE7"/>
    <w:rsid w:val="00B7307F"/>
    <w:rsid w:val="00B735C0"/>
    <w:rsid w:val="00B741CC"/>
    <w:rsid w:val="00B74628"/>
    <w:rsid w:val="00B75342"/>
    <w:rsid w:val="00B75960"/>
    <w:rsid w:val="00B75B4E"/>
    <w:rsid w:val="00B76C86"/>
    <w:rsid w:val="00B8025F"/>
    <w:rsid w:val="00B80389"/>
    <w:rsid w:val="00B84524"/>
    <w:rsid w:val="00B860BC"/>
    <w:rsid w:val="00B861E1"/>
    <w:rsid w:val="00B865B4"/>
    <w:rsid w:val="00B873D9"/>
    <w:rsid w:val="00B87DFB"/>
    <w:rsid w:val="00B902AF"/>
    <w:rsid w:val="00B92CED"/>
    <w:rsid w:val="00B92D10"/>
    <w:rsid w:val="00B935CF"/>
    <w:rsid w:val="00B9421F"/>
    <w:rsid w:val="00B97AD3"/>
    <w:rsid w:val="00BA0FEE"/>
    <w:rsid w:val="00BA1BC9"/>
    <w:rsid w:val="00BA32B3"/>
    <w:rsid w:val="00BA3BAC"/>
    <w:rsid w:val="00BA3F0A"/>
    <w:rsid w:val="00BA4A6C"/>
    <w:rsid w:val="00BA68CE"/>
    <w:rsid w:val="00BA6E87"/>
    <w:rsid w:val="00BB09EC"/>
    <w:rsid w:val="00BB1E78"/>
    <w:rsid w:val="00BB2185"/>
    <w:rsid w:val="00BB28D3"/>
    <w:rsid w:val="00BB2D19"/>
    <w:rsid w:val="00BB636E"/>
    <w:rsid w:val="00BB64CC"/>
    <w:rsid w:val="00BB67C1"/>
    <w:rsid w:val="00BB6A06"/>
    <w:rsid w:val="00BB6AAC"/>
    <w:rsid w:val="00BB6F9C"/>
    <w:rsid w:val="00BC0E7F"/>
    <w:rsid w:val="00BC235A"/>
    <w:rsid w:val="00BC3CF7"/>
    <w:rsid w:val="00BC5C68"/>
    <w:rsid w:val="00BC6312"/>
    <w:rsid w:val="00BC6A4B"/>
    <w:rsid w:val="00BC7E65"/>
    <w:rsid w:val="00BD1616"/>
    <w:rsid w:val="00BD1877"/>
    <w:rsid w:val="00BD1DD5"/>
    <w:rsid w:val="00BD35CD"/>
    <w:rsid w:val="00BD4208"/>
    <w:rsid w:val="00BD4F78"/>
    <w:rsid w:val="00BD5695"/>
    <w:rsid w:val="00BD57B7"/>
    <w:rsid w:val="00BD64DF"/>
    <w:rsid w:val="00BD69C4"/>
    <w:rsid w:val="00BD6DA3"/>
    <w:rsid w:val="00BD7013"/>
    <w:rsid w:val="00BE0DA0"/>
    <w:rsid w:val="00BE2A95"/>
    <w:rsid w:val="00BE7010"/>
    <w:rsid w:val="00BE74E8"/>
    <w:rsid w:val="00BF099F"/>
    <w:rsid w:val="00BF1125"/>
    <w:rsid w:val="00BF1634"/>
    <w:rsid w:val="00BF1756"/>
    <w:rsid w:val="00BF1EAE"/>
    <w:rsid w:val="00BF433F"/>
    <w:rsid w:val="00BF7591"/>
    <w:rsid w:val="00BF7EB5"/>
    <w:rsid w:val="00C0193A"/>
    <w:rsid w:val="00C01A5F"/>
    <w:rsid w:val="00C01AAC"/>
    <w:rsid w:val="00C01D4F"/>
    <w:rsid w:val="00C02945"/>
    <w:rsid w:val="00C031E2"/>
    <w:rsid w:val="00C03396"/>
    <w:rsid w:val="00C0483C"/>
    <w:rsid w:val="00C065B3"/>
    <w:rsid w:val="00C11768"/>
    <w:rsid w:val="00C11C42"/>
    <w:rsid w:val="00C12133"/>
    <w:rsid w:val="00C141FE"/>
    <w:rsid w:val="00C1545A"/>
    <w:rsid w:val="00C15673"/>
    <w:rsid w:val="00C16302"/>
    <w:rsid w:val="00C213F2"/>
    <w:rsid w:val="00C2305C"/>
    <w:rsid w:val="00C242EA"/>
    <w:rsid w:val="00C2493B"/>
    <w:rsid w:val="00C249EB"/>
    <w:rsid w:val="00C256BA"/>
    <w:rsid w:val="00C25F7E"/>
    <w:rsid w:val="00C26348"/>
    <w:rsid w:val="00C26ABD"/>
    <w:rsid w:val="00C27192"/>
    <w:rsid w:val="00C30E0A"/>
    <w:rsid w:val="00C322B9"/>
    <w:rsid w:val="00C323A1"/>
    <w:rsid w:val="00C32523"/>
    <w:rsid w:val="00C329A1"/>
    <w:rsid w:val="00C33776"/>
    <w:rsid w:val="00C341EA"/>
    <w:rsid w:val="00C35E3A"/>
    <w:rsid w:val="00C36174"/>
    <w:rsid w:val="00C3670B"/>
    <w:rsid w:val="00C37342"/>
    <w:rsid w:val="00C37ABD"/>
    <w:rsid w:val="00C37F38"/>
    <w:rsid w:val="00C407F7"/>
    <w:rsid w:val="00C41200"/>
    <w:rsid w:val="00C415DD"/>
    <w:rsid w:val="00C43738"/>
    <w:rsid w:val="00C44BAD"/>
    <w:rsid w:val="00C450E7"/>
    <w:rsid w:val="00C45BE1"/>
    <w:rsid w:val="00C45DC8"/>
    <w:rsid w:val="00C47366"/>
    <w:rsid w:val="00C51FFF"/>
    <w:rsid w:val="00C53302"/>
    <w:rsid w:val="00C54474"/>
    <w:rsid w:val="00C54F59"/>
    <w:rsid w:val="00C56731"/>
    <w:rsid w:val="00C5690A"/>
    <w:rsid w:val="00C56F3F"/>
    <w:rsid w:val="00C57B85"/>
    <w:rsid w:val="00C61E41"/>
    <w:rsid w:val="00C62F40"/>
    <w:rsid w:val="00C633A8"/>
    <w:rsid w:val="00C63691"/>
    <w:rsid w:val="00C63DF2"/>
    <w:rsid w:val="00C645F2"/>
    <w:rsid w:val="00C64C64"/>
    <w:rsid w:val="00C64FFB"/>
    <w:rsid w:val="00C65610"/>
    <w:rsid w:val="00C6683F"/>
    <w:rsid w:val="00C6777C"/>
    <w:rsid w:val="00C7160E"/>
    <w:rsid w:val="00C718DC"/>
    <w:rsid w:val="00C71FE0"/>
    <w:rsid w:val="00C72F01"/>
    <w:rsid w:val="00C738AC"/>
    <w:rsid w:val="00C73D8A"/>
    <w:rsid w:val="00C74894"/>
    <w:rsid w:val="00C74D70"/>
    <w:rsid w:val="00C75497"/>
    <w:rsid w:val="00C77D8D"/>
    <w:rsid w:val="00C81028"/>
    <w:rsid w:val="00C8113A"/>
    <w:rsid w:val="00C81172"/>
    <w:rsid w:val="00C82513"/>
    <w:rsid w:val="00C826C5"/>
    <w:rsid w:val="00C83462"/>
    <w:rsid w:val="00C858F3"/>
    <w:rsid w:val="00C86224"/>
    <w:rsid w:val="00C90D85"/>
    <w:rsid w:val="00C9121A"/>
    <w:rsid w:val="00C919AF"/>
    <w:rsid w:val="00C9201C"/>
    <w:rsid w:val="00C921DB"/>
    <w:rsid w:val="00C9243A"/>
    <w:rsid w:val="00C9250D"/>
    <w:rsid w:val="00C930B7"/>
    <w:rsid w:val="00C93A19"/>
    <w:rsid w:val="00C94341"/>
    <w:rsid w:val="00C9484F"/>
    <w:rsid w:val="00C948F5"/>
    <w:rsid w:val="00C95446"/>
    <w:rsid w:val="00C9624C"/>
    <w:rsid w:val="00C96CB0"/>
    <w:rsid w:val="00C97873"/>
    <w:rsid w:val="00CA0B5A"/>
    <w:rsid w:val="00CA39F9"/>
    <w:rsid w:val="00CA42F8"/>
    <w:rsid w:val="00CA4887"/>
    <w:rsid w:val="00CA509E"/>
    <w:rsid w:val="00CA51AD"/>
    <w:rsid w:val="00CA7654"/>
    <w:rsid w:val="00CB0F71"/>
    <w:rsid w:val="00CB37D2"/>
    <w:rsid w:val="00CB435D"/>
    <w:rsid w:val="00CB504F"/>
    <w:rsid w:val="00CB65A9"/>
    <w:rsid w:val="00CB7F73"/>
    <w:rsid w:val="00CC0710"/>
    <w:rsid w:val="00CC087D"/>
    <w:rsid w:val="00CC1C20"/>
    <w:rsid w:val="00CC25AD"/>
    <w:rsid w:val="00CC2967"/>
    <w:rsid w:val="00CC3D2D"/>
    <w:rsid w:val="00CC55F1"/>
    <w:rsid w:val="00CC5E8C"/>
    <w:rsid w:val="00CC6174"/>
    <w:rsid w:val="00CC6AA8"/>
    <w:rsid w:val="00CC7AC4"/>
    <w:rsid w:val="00CD0615"/>
    <w:rsid w:val="00CD2041"/>
    <w:rsid w:val="00CD2C92"/>
    <w:rsid w:val="00CD79E3"/>
    <w:rsid w:val="00CD7A8E"/>
    <w:rsid w:val="00CE181E"/>
    <w:rsid w:val="00CE202C"/>
    <w:rsid w:val="00CE230C"/>
    <w:rsid w:val="00CE2852"/>
    <w:rsid w:val="00CE33DB"/>
    <w:rsid w:val="00CE4BF1"/>
    <w:rsid w:val="00CE5895"/>
    <w:rsid w:val="00CE5CA1"/>
    <w:rsid w:val="00CE6804"/>
    <w:rsid w:val="00CE728D"/>
    <w:rsid w:val="00CE756B"/>
    <w:rsid w:val="00CF1F7F"/>
    <w:rsid w:val="00CF2DE1"/>
    <w:rsid w:val="00CF3C23"/>
    <w:rsid w:val="00CF5717"/>
    <w:rsid w:val="00CF6913"/>
    <w:rsid w:val="00CF7A69"/>
    <w:rsid w:val="00CF7B94"/>
    <w:rsid w:val="00D00AB3"/>
    <w:rsid w:val="00D01671"/>
    <w:rsid w:val="00D01AB0"/>
    <w:rsid w:val="00D02033"/>
    <w:rsid w:val="00D05BE9"/>
    <w:rsid w:val="00D063BD"/>
    <w:rsid w:val="00D06768"/>
    <w:rsid w:val="00D075A1"/>
    <w:rsid w:val="00D12931"/>
    <w:rsid w:val="00D17409"/>
    <w:rsid w:val="00D2006E"/>
    <w:rsid w:val="00D2183F"/>
    <w:rsid w:val="00D23AFE"/>
    <w:rsid w:val="00D23B13"/>
    <w:rsid w:val="00D24096"/>
    <w:rsid w:val="00D24EF3"/>
    <w:rsid w:val="00D25AE7"/>
    <w:rsid w:val="00D270C0"/>
    <w:rsid w:val="00D27AE1"/>
    <w:rsid w:val="00D30450"/>
    <w:rsid w:val="00D30DB8"/>
    <w:rsid w:val="00D3408C"/>
    <w:rsid w:val="00D341AE"/>
    <w:rsid w:val="00D34BEC"/>
    <w:rsid w:val="00D35FE3"/>
    <w:rsid w:val="00D361AB"/>
    <w:rsid w:val="00D37046"/>
    <w:rsid w:val="00D379A1"/>
    <w:rsid w:val="00D41824"/>
    <w:rsid w:val="00D45ED8"/>
    <w:rsid w:val="00D4743D"/>
    <w:rsid w:val="00D5000D"/>
    <w:rsid w:val="00D50919"/>
    <w:rsid w:val="00D524F6"/>
    <w:rsid w:val="00D52756"/>
    <w:rsid w:val="00D530C8"/>
    <w:rsid w:val="00D548E0"/>
    <w:rsid w:val="00D56EAF"/>
    <w:rsid w:val="00D618EB"/>
    <w:rsid w:val="00D626C4"/>
    <w:rsid w:val="00D62784"/>
    <w:rsid w:val="00D627CC"/>
    <w:rsid w:val="00D62D08"/>
    <w:rsid w:val="00D637DA"/>
    <w:rsid w:val="00D63D8A"/>
    <w:rsid w:val="00D64C5A"/>
    <w:rsid w:val="00D64ED5"/>
    <w:rsid w:val="00D668DB"/>
    <w:rsid w:val="00D66D35"/>
    <w:rsid w:val="00D677EC"/>
    <w:rsid w:val="00D708B4"/>
    <w:rsid w:val="00D71A77"/>
    <w:rsid w:val="00D71AF0"/>
    <w:rsid w:val="00D72179"/>
    <w:rsid w:val="00D724BF"/>
    <w:rsid w:val="00D725A9"/>
    <w:rsid w:val="00D73639"/>
    <w:rsid w:val="00D7413B"/>
    <w:rsid w:val="00D74538"/>
    <w:rsid w:val="00D74799"/>
    <w:rsid w:val="00D74893"/>
    <w:rsid w:val="00D76284"/>
    <w:rsid w:val="00D7631C"/>
    <w:rsid w:val="00D76F6C"/>
    <w:rsid w:val="00D800B6"/>
    <w:rsid w:val="00D80267"/>
    <w:rsid w:val="00D81EA4"/>
    <w:rsid w:val="00D844B7"/>
    <w:rsid w:val="00D84D8F"/>
    <w:rsid w:val="00D85058"/>
    <w:rsid w:val="00D8540B"/>
    <w:rsid w:val="00D85C03"/>
    <w:rsid w:val="00D85FA7"/>
    <w:rsid w:val="00D9126C"/>
    <w:rsid w:val="00D92502"/>
    <w:rsid w:val="00D92BA0"/>
    <w:rsid w:val="00D93991"/>
    <w:rsid w:val="00D93CCF"/>
    <w:rsid w:val="00D957C8"/>
    <w:rsid w:val="00D9598C"/>
    <w:rsid w:val="00D959BA"/>
    <w:rsid w:val="00D96611"/>
    <w:rsid w:val="00D97FAA"/>
    <w:rsid w:val="00DA04AB"/>
    <w:rsid w:val="00DA0D3F"/>
    <w:rsid w:val="00DA126D"/>
    <w:rsid w:val="00DA1CF9"/>
    <w:rsid w:val="00DA3405"/>
    <w:rsid w:val="00DA3DB4"/>
    <w:rsid w:val="00DA4FAF"/>
    <w:rsid w:val="00DA57F9"/>
    <w:rsid w:val="00DA6A98"/>
    <w:rsid w:val="00DA6FE1"/>
    <w:rsid w:val="00DA7713"/>
    <w:rsid w:val="00DB0694"/>
    <w:rsid w:val="00DB11B5"/>
    <w:rsid w:val="00DC0EBD"/>
    <w:rsid w:val="00DC127B"/>
    <w:rsid w:val="00DC1F02"/>
    <w:rsid w:val="00DC449E"/>
    <w:rsid w:val="00DC5676"/>
    <w:rsid w:val="00DC7D67"/>
    <w:rsid w:val="00DD007F"/>
    <w:rsid w:val="00DD0DB9"/>
    <w:rsid w:val="00DD2627"/>
    <w:rsid w:val="00DD29CD"/>
    <w:rsid w:val="00DD48D0"/>
    <w:rsid w:val="00DD5250"/>
    <w:rsid w:val="00DD7CC6"/>
    <w:rsid w:val="00DE2C38"/>
    <w:rsid w:val="00DE33EC"/>
    <w:rsid w:val="00DE4110"/>
    <w:rsid w:val="00DE5F46"/>
    <w:rsid w:val="00DF0217"/>
    <w:rsid w:val="00DF0831"/>
    <w:rsid w:val="00DF2C24"/>
    <w:rsid w:val="00DF39A5"/>
    <w:rsid w:val="00DF3F25"/>
    <w:rsid w:val="00DF4C85"/>
    <w:rsid w:val="00DF60B1"/>
    <w:rsid w:val="00DF6C8D"/>
    <w:rsid w:val="00DF71B0"/>
    <w:rsid w:val="00DF766D"/>
    <w:rsid w:val="00DF76B1"/>
    <w:rsid w:val="00DF7D42"/>
    <w:rsid w:val="00E00E3B"/>
    <w:rsid w:val="00E0372D"/>
    <w:rsid w:val="00E03D51"/>
    <w:rsid w:val="00E04820"/>
    <w:rsid w:val="00E06BA5"/>
    <w:rsid w:val="00E1001C"/>
    <w:rsid w:val="00E10270"/>
    <w:rsid w:val="00E1082B"/>
    <w:rsid w:val="00E110C3"/>
    <w:rsid w:val="00E13271"/>
    <w:rsid w:val="00E13B6C"/>
    <w:rsid w:val="00E14532"/>
    <w:rsid w:val="00E15207"/>
    <w:rsid w:val="00E16D20"/>
    <w:rsid w:val="00E17694"/>
    <w:rsid w:val="00E20267"/>
    <w:rsid w:val="00E21BDB"/>
    <w:rsid w:val="00E22E81"/>
    <w:rsid w:val="00E24BE1"/>
    <w:rsid w:val="00E24BE9"/>
    <w:rsid w:val="00E253DA"/>
    <w:rsid w:val="00E27B38"/>
    <w:rsid w:val="00E308B1"/>
    <w:rsid w:val="00E333B8"/>
    <w:rsid w:val="00E36FC6"/>
    <w:rsid w:val="00E37869"/>
    <w:rsid w:val="00E37982"/>
    <w:rsid w:val="00E404DB"/>
    <w:rsid w:val="00E4339B"/>
    <w:rsid w:val="00E44B54"/>
    <w:rsid w:val="00E46059"/>
    <w:rsid w:val="00E4658C"/>
    <w:rsid w:val="00E46BF3"/>
    <w:rsid w:val="00E51F1C"/>
    <w:rsid w:val="00E52145"/>
    <w:rsid w:val="00E55FF6"/>
    <w:rsid w:val="00E564BF"/>
    <w:rsid w:val="00E60580"/>
    <w:rsid w:val="00E605A5"/>
    <w:rsid w:val="00E61583"/>
    <w:rsid w:val="00E61D39"/>
    <w:rsid w:val="00E61F40"/>
    <w:rsid w:val="00E6221E"/>
    <w:rsid w:val="00E6328C"/>
    <w:rsid w:val="00E64A93"/>
    <w:rsid w:val="00E65593"/>
    <w:rsid w:val="00E65CE6"/>
    <w:rsid w:val="00E6696B"/>
    <w:rsid w:val="00E66BC5"/>
    <w:rsid w:val="00E67F49"/>
    <w:rsid w:val="00E703F4"/>
    <w:rsid w:val="00E73278"/>
    <w:rsid w:val="00E73E02"/>
    <w:rsid w:val="00E74672"/>
    <w:rsid w:val="00E753ED"/>
    <w:rsid w:val="00E76AD7"/>
    <w:rsid w:val="00E778D9"/>
    <w:rsid w:val="00E80B93"/>
    <w:rsid w:val="00E81F41"/>
    <w:rsid w:val="00E8263F"/>
    <w:rsid w:val="00E82D44"/>
    <w:rsid w:val="00E82E38"/>
    <w:rsid w:val="00E83EB5"/>
    <w:rsid w:val="00E8417D"/>
    <w:rsid w:val="00E85ECA"/>
    <w:rsid w:val="00E86D4D"/>
    <w:rsid w:val="00E87B87"/>
    <w:rsid w:val="00E903BD"/>
    <w:rsid w:val="00E91608"/>
    <w:rsid w:val="00E941FA"/>
    <w:rsid w:val="00E954D1"/>
    <w:rsid w:val="00E95A90"/>
    <w:rsid w:val="00E95B14"/>
    <w:rsid w:val="00EA0FB5"/>
    <w:rsid w:val="00EA17E8"/>
    <w:rsid w:val="00EA1EBF"/>
    <w:rsid w:val="00EA2474"/>
    <w:rsid w:val="00EA2A1D"/>
    <w:rsid w:val="00EA2D24"/>
    <w:rsid w:val="00EA4173"/>
    <w:rsid w:val="00EA5639"/>
    <w:rsid w:val="00EA5645"/>
    <w:rsid w:val="00EA5B5C"/>
    <w:rsid w:val="00EA6D76"/>
    <w:rsid w:val="00EA7D53"/>
    <w:rsid w:val="00EB31F8"/>
    <w:rsid w:val="00EB35F2"/>
    <w:rsid w:val="00EB39E7"/>
    <w:rsid w:val="00EB4375"/>
    <w:rsid w:val="00EB597E"/>
    <w:rsid w:val="00EB6506"/>
    <w:rsid w:val="00EB67F3"/>
    <w:rsid w:val="00EC0B1B"/>
    <w:rsid w:val="00EC0FBA"/>
    <w:rsid w:val="00EC1DAB"/>
    <w:rsid w:val="00EC2AF5"/>
    <w:rsid w:val="00EC2B8D"/>
    <w:rsid w:val="00EC3494"/>
    <w:rsid w:val="00EC569B"/>
    <w:rsid w:val="00EC5E10"/>
    <w:rsid w:val="00EC65C8"/>
    <w:rsid w:val="00EC78E6"/>
    <w:rsid w:val="00ED0D21"/>
    <w:rsid w:val="00ED1360"/>
    <w:rsid w:val="00ED3CF8"/>
    <w:rsid w:val="00ED48A0"/>
    <w:rsid w:val="00ED7E7E"/>
    <w:rsid w:val="00EE119A"/>
    <w:rsid w:val="00EE1A7D"/>
    <w:rsid w:val="00EE30DF"/>
    <w:rsid w:val="00EE3F0C"/>
    <w:rsid w:val="00EE465C"/>
    <w:rsid w:val="00EE546E"/>
    <w:rsid w:val="00EF067B"/>
    <w:rsid w:val="00EF0779"/>
    <w:rsid w:val="00EF0F7D"/>
    <w:rsid w:val="00EF1CAC"/>
    <w:rsid w:val="00EF1E8A"/>
    <w:rsid w:val="00EF24DB"/>
    <w:rsid w:val="00EF3119"/>
    <w:rsid w:val="00EF36FE"/>
    <w:rsid w:val="00EF67CF"/>
    <w:rsid w:val="00EF6A5D"/>
    <w:rsid w:val="00EF6CCF"/>
    <w:rsid w:val="00EF7311"/>
    <w:rsid w:val="00F01187"/>
    <w:rsid w:val="00F017DF"/>
    <w:rsid w:val="00F02BBF"/>
    <w:rsid w:val="00F04DE4"/>
    <w:rsid w:val="00F05BA9"/>
    <w:rsid w:val="00F06314"/>
    <w:rsid w:val="00F07144"/>
    <w:rsid w:val="00F109F5"/>
    <w:rsid w:val="00F11195"/>
    <w:rsid w:val="00F12310"/>
    <w:rsid w:val="00F124C8"/>
    <w:rsid w:val="00F13C60"/>
    <w:rsid w:val="00F13D4B"/>
    <w:rsid w:val="00F172B5"/>
    <w:rsid w:val="00F178CB"/>
    <w:rsid w:val="00F17EB3"/>
    <w:rsid w:val="00F20402"/>
    <w:rsid w:val="00F2064D"/>
    <w:rsid w:val="00F2213A"/>
    <w:rsid w:val="00F2228B"/>
    <w:rsid w:val="00F22BB6"/>
    <w:rsid w:val="00F2381E"/>
    <w:rsid w:val="00F23EA5"/>
    <w:rsid w:val="00F25768"/>
    <w:rsid w:val="00F272A0"/>
    <w:rsid w:val="00F30ABC"/>
    <w:rsid w:val="00F30C6E"/>
    <w:rsid w:val="00F3179E"/>
    <w:rsid w:val="00F31BBE"/>
    <w:rsid w:val="00F32E4A"/>
    <w:rsid w:val="00F34B39"/>
    <w:rsid w:val="00F352D0"/>
    <w:rsid w:val="00F3570B"/>
    <w:rsid w:val="00F36341"/>
    <w:rsid w:val="00F37ADE"/>
    <w:rsid w:val="00F37EFC"/>
    <w:rsid w:val="00F42CF5"/>
    <w:rsid w:val="00F432DF"/>
    <w:rsid w:val="00F43AA1"/>
    <w:rsid w:val="00F44086"/>
    <w:rsid w:val="00F44774"/>
    <w:rsid w:val="00F46344"/>
    <w:rsid w:val="00F468A0"/>
    <w:rsid w:val="00F47834"/>
    <w:rsid w:val="00F50F2A"/>
    <w:rsid w:val="00F51191"/>
    <w:rsid w:val="00F51815"/>
    <w:rsid w:val="00F5242A"/>
    <w:rsid w:val="00F524C6"/>
    <w:rsid w:val="00F530F8"/>
    <w:rsid w:val="00F53DE8"/>
    <w:rsid w:val="00F546B7"/>
    <w:rsid w:val="00F54F49"/>
    <w:rsid w:val="00F557BD"/>
    <w:rsid w:val="00F559C4"/>
    <w:rsid w:val="00F56C7A"/>
    <w:rsid w:val="00F56D48"/>
    <w:rsid w:val="00F61A99"/>
    <w:rsid w:val="00F624D2"/>
    <w:rsid w:val="00F631E6"/>
    <w:rsid w:val="00F651B2"/>
    <w:rsid w:val="00F65773"/>
    <w:rsid w:val="00F66615"/>
    <w:rsid w:val="00F667E4"/>
    <w:rsid w:val="00F66B3F"/>
    <w:rsid w:val="00F67704"/>
    <w:rsid w:val="00F67821"/>
    <w:rsid w:val="00F67B54"/>
    <w:rsid w:val="00F71951"/>
    <w:rsid w:val="00F73E03"/>
    <w:rsid w:val="00F75275"/>
    <w:rsid w:val="00F752D5"/>
    <w:rsid w:val="00F753FB"/>
    <w:rsid w:val="00F75BA9"/>
    <w:rsid w:val="00F77CE3"/>
    <w:rsid w:val="00F80A30"/>
    <w:rsid w:val="00F82847"/>
    <w:rsid w:val="00F83784"/>
    <w:rsid w:val="00F83C38"/>
    <w:rsid w:val="00F84682"/>
    <w:rsid w:val="00F907C8"/>
    <w:rsid w:val="00F90818"/>
    <w:rsid w:val="00F913D4"/>
    <w:rsid w:val="00F91CF2"/>
    <w:rsid w:val="00F92106"/>
    <w:rsid w:val="00F93BE7"/>
    <w:rsid w:val="00F94F6D"/>
    <w:rsid w:val="00F96261"/>
    <w:rsid w:val="00F963DC"/>
    <w:rsid w:val="00F971A0"/>
    <w:rsid w:val="00F97268"/>
    <w:rsid w:val="00F9737D"/>
    <w:rsid w:val="00FA2B28"/>
    <w:rsid w:val="00FA32E0"/>
    <w:rsid w:val="00FA379B"/>
    <w:rsid w:val="00FA431A"/>
    <w:rsid w:val="00FA4456"/>
    <w:rsid w:val="00FA4D47"/>
    <w:rsid w:val="00FA5903"/>
    <w:rsid w:val="00FA729D"/>
    <w:rsid w:val="00FA7FEE"/>
    <w:rsid w:val="00FB1265"/>
    <w:rsid w:val="00FB1A9E"/>
    <w:rsid w:val="00FB4AB1"/>
    <w:rsid w:val="00FB6F80"/>
    <w:rsid w:val="00FC10F4"/>
    <w:rsid w:val="00FC53D9"/>
    <w:rsid w:val="00FC5684"/>
    <w:rsid w:val="00FC58E0"/>
    <w:rsid w:val="00FC6ECE"/>
    <w:rsid w:val="00FC76FB"/>
    <w:rsid w:val="00FD084D"/>
    <w:rsid w:val="00FD1B1C"/>
    <w:rsid w:val="00FD22BB"/>
    <w:rsid w:val="00FD2EE7"/>
    <w:rsid w:val="00FD4F91"/>
    <w:rsid w:val="00FD521C"/>
    <w:rsid w:val="00FD5CD1"/>
    <w:rsid w:val="00FD60C1"/>
    <w:rsid w:val="00FD635E"/>
    <w:rsid w:val="00FD65FA"/>
    <w:rsid w:val="00FD6698"/>
    <w:rsid w:val="00FD6A2F"/>
    <w:rsid w:val="00FD6EE6"/>
    <w:rsid w:val="00FD74E0"/>
    <w:rsid w:val="00FE2278"/>
    <w:rsid w:val="00FE278F"/>
    <w:rsid w:val="00FE4925"/>
    <w:rsid w:val="00FE4E9A"/>
    <w:rsid w:val="00FE50C9"/>
    <w:rsid w:val="00FE5EC2"/>
    <w:rsid w:val="00FE7EF2"/>
    <w:rsid w:val="00FF080F"/>
    <w:rsid w:val="00FF0B8C"/>
    <w:rsid w:val="00FF1A5A"/>
    <w:rsid w:val="00FF283C"/>
    <w:rsid w:val="00FF30B8"/>
    <w:rsid w:val="00FF47DB"/>
    <w:rsid w:val="00FF637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153343"/>
  <w15:chartTrackingRefBased/>
  <w15:docId w15:val="{60DEB7C8-8472-4C7E-81D6-FFDBADF31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lsdException w:name="footnote text" w:uiPriority="99"/>
    <w:lsdException w:name="header" w:uiPriority="99"/>
    <w:lsdException w:name="footer" w:uiPriority="99"/>
    <w:lsdException w:name="caption" w:semiHidden="1" w:uiPriority="35" w:unhideWhenUsed="1" w:qFormat="1"/>
    <w:lsdException w:name="footnote reference" w:uiPriority="99"/>
    <w:lsdException w:name="Title" w:uiPriority="10" w:qFormat="1"/>
    <w:lsdException w:name="Subtitle" w:uiPriority="11" w:qFormat="1"/>
    <w:lsdException w:name="Hyperlink" w:uiPriority="99"/>
    <w:lsdException w:name="FollowedHyperlink" w:uiPriority="99"/>
    <w:lsdException w:name="Strong" w:uiPriority="22" w:qFormat="1"/>
    <w:lsdException w:name="Emphasis" w:uiPriority="20"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735C0"/>
    <w:pPr>
      <w:bidi/>
    </w:pPr>
    <w:rPr>
      <w:sz w:val="24"/>
      <w:szCs w:val="24"/>
    </w:rPr>
  </w:style>
  <w:style w:type="paragraph" w:styleId="1">
    <w:name w:val="heading 1"/>
    <w:basedOn w:val="a"/>
    <w:next w:val="a"/>
    <w:link w:val="10"/>
    <w:uiPriority w:val="9"/>
    <w:qFormat/>
    <w:rsid w:val="00CD0615"/>
    <w:pPr>
      <w:keepNext/>
      <w:spacing w:before="240" w:after="60"/>
      <w:outlineLvl w:val="0"/>
    </w:pPr>
    <w:rPr>
      <w:rFonts w:ascii="Cambria" w:hAnsi="Cambria"/>
      <w:b/>
      <w:bCs/>
      <w:kern w:val="32"/>
      <w:sz w:val="32"/>
      <w:szCs w:val="32"/>
    </w:rPr>
  </w:style>
  <w:style w:type="paragraph" w:styleId="2">
    <w:name w:val="heading 2"/>
    <w:basedOn w:val="a"/>
    <w:next w:val="a"/>
    <w:link w:val="20"/>
    <w:uiPriority w:val="9"/>
    <w:unhideWhenUsed/>
    <w:qFormat/>
    <w:rsid w:val="002F788A"/>
    <w:pPr>
      <w:keepNext/>
      <w:spacing w:before="240" w:after="60"/>
      <w:outlineLvl w:val="1"/>
    </w:pPr>
    <w:rPr>
      <w:rFonts w:ascii="Cambria" w:hAnsi="Cambria"/>
      <w:b/>
      <w:bCs/>
      <w:i/>
      <w:iCs/>
      <w:sz w:val="28"/>
      <w:szCs w:val="28"/>
    </w:rPr>
  </w:style>
  <w:style w:type="paragraph" w:styleId="3">
    <w:name w:val="heading 3"/>
    <w:basedOn w:val="a"/>
    <w:link w:val="30"/>
    <w:uiPriority w:val="9"/>
    <w:unhideWhenUsed/>
    <w:qFormat/>
    <w:rsid w:val="00A73B75"/>
    <w:pPr>
      <w:bidi w:val="0"/>
      <w:spacing w:before="100" w:beforeAutospacing="1" w:after="100" w:afterAutospacing="1"/>
      <w:outlineLvl w:val="2"/>
    </w:pPr>
    <w:rPr>
      <w:b/>
      <w:bCs/>
      <w:sz w:val="27"/>
      <w:szCs w:val="27"/>
      <w:lang w:val="x-none" w:eastAsia="x-none"/>
    </w:rPr>
  </w:style>
  <w:style w:type="paragraph" w:styleId="4">
    <w:name w:val="heading 4"/>
    <w:basedOn w:val="a"/>
    <w:next w:val="a"/>
    <w:link w:val="40"/>
    <w:uiPriority w:val="9"/>
    <w:unhideWhenUsed/>
    <w:qFormat/>
    <w:rsid w:val="007B5CDF"/>
    <w:pPr>
      <w:keepNext/>
      <w:spacing w:before="240" w:after="60"/>
      <w:outlineLvl w:val="3"/>
    </w:pPr>
    <w:rPr>
      <w:rFonts w:ascii="Calibri" w:hAnsi="Calibri" w:cs="Arial"/>
      <w:b/>
      <w:bCs/>
      <w:sz w:val="28"/>
      <w:szCs w:val="28"/>
    </w:rPr>
  </w:style>
  <w:style w:type="paragraph" w:styleId="5">
    <w:name w:val="heading 5"/>
    <w:basedOn w:val="a"/>
    <w:next w:val="a"/>
    <w:link w:val="50"/>
    <w:semiHidden/>
    <w:unhideWhenUsed/>
    <w:qFormat/>
    <w:rsid w:val="007B5CDF"/>
    <w:pPr>
      <w:spacing w:before="240" w:after="60"/>
      <w:outlineLvl w:val="4"/>
    </w:pPr>
    <w:rPr>
      <w:rFonts w:ascii="Calibri" w:hAnsi="Calibri" w:cs="Arial"/>
      <w:b/>
      <w:bCs/>
      <w:i/>
      <w:iCs/>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B97AD3"/>
    <w:pPr>
      <w:tabs>
        <w:tab w:val="center" w:pos="4153"/>
        <w:tab w:val="right" w:pos="8306"/>
      </w:tabs>
    </w:pPr>
  </w:style>
  <w:style w:type="paragraph" w:styleId="a5">
    <w:name w:val="footer"/>
    <w:basedOn w:val="a"/>
    <w:link w:val="a6"/>
    <w:uiPriority w:val="99"/>
    <w:rsid w:val="00B97AD3"/>
    <w:pPr>
      <w:tabs>
        <w:tab w:val="center" w:pos="4153"/>
        <w:tab w:val="right" w:pos="8306"/>
      </w:tabs>
    </w:pPr>
  </w:style>
  <w:style w:type="character" w:styleId="a7">
    <w:name w:val="page number"/>
    <w:rsid w:val="00B97AD3"/>
    <w:rPr>
      <w:rFonts w:cs="Times New Roman"/>
    </w:rPr>
  </w:style>
  <w:style w:type="paragraph" w:styleId="a8">
    <w:name w:val="Balloon Text"/>
    <w:basedOn w:val="a"/>
    <w:semiHidden/>
    <w:rsid w:val="001E6FFB"/>
    <w:rPr>
      <w:rFonts w:ascii="Tahoma" w:hAnsi="Tahoma" w:cs="Tahoma"/>
      <w:sz w:val="16"/>
      <w:szCs w:val="16"/>
    </w:rPr>
  </w:style>
  <w:style w:type="character" w:styleId="Hyperlink">
    <w:name w:val="Hyperlink"/>
    <w:uiPriority w:val="99"/>
    <w:rsid w:val="00AE4A4C"/>
    <w:rPr>
      <w:color w:val="0000FF"/>
      <w:u w:val="single"/>
    </w:rPr>
  </w:style>
  <w:style w:type="paragraph" w:styleId="NormalWeb">
    <w:name w:val="Normal (Web)"/>
    <w:aliases w:val="Normal (Web)"/>
    <w:basedOn w:val="a"/>
    <w:uiPriority w:val="99"/>
    <w:rsid w:val="00FA5903"/>
    <w:pPr>
      <w:bidi w:val="0"/>
      <w:spacing w:before="100" w:beforeAutospacing="1" w:after="100" w:afterAutospacing="1"/>
    </w:pPr>
  </w:style>
  <w:style w:type="paragraph" w:styleId="HTML">
    <w:name w:val="HTML Preformatted"/>
    <w:basedOn w:val="a"/>
    <w:link w:val="HTML0"/>
    <w:unhideWhenUsed/>
    <w:rsid w:val="00127A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pPr>
    <w:rPr>
      <w:rFonts w:ascii="Courier New" w:eastAsia="Batang" w:hAnsi="Courier New"/>
      <w:sz w:val="20"/>
      <w:szCs w:val="20"/>
      <w:lang w:val="x-none" w:eastAsia="ko-KR"/>
    </w:rPr>
  </w:style>
  <w:style w:type="character" w:customStyle="1" w:styleId="HTML0">
    <w:name w:val="HTML מעוצב מראש תו"/>
    <w:link w:val="HTML"/>
    <w:rsid w:val="00127A9C"/>
    <w:rPr>
      <w:rFonts w:ascii="Courier New" w:eastAsia="Batang" w:hAnsi="Courier New" w:cs="Courier New"/>
      <w:lang w:eastAsia="ko-KR"/>
    </w:rPr>
  </w:style>
  <w:style w:type="character" w:customStyle="1" w:styleId="f01">
    <w:name w:val="f01"/>
    <w:rsid w:val="00127A9C"/>
    <w:rPr>
      <w:rFonts w:ascii="Arial" w:hAnsi="Arial" w:cs="Arial" w:hint="default"/>
      <w:color w:val="000000"/>
      <w:sz w:val="24"/>
      <w:szCs w:val="24"/>
    </w:rPr>
  </w:style>
  <w:style w:type="character" w:styleId="FollowedHyperlink">
    <w:name w:val="FollowedHyperlink"/>
    <w:uiPriority w:val="99"/>
    <w:rsid w:val="00A1056A"/>
    <w:rPr>
      <w:color w:val="800080"/>
      <w:u w:val="single"/>
    </w:rPr>
  </w:style>
  <w:style w:type="paragraph" w:styleId="a9">
    <w:name w:val="Plain Text"/>
    <w:basedOn w:val="a"/>
    <w:link w:val="aa"/>
    <w:uiPriority w:val="99"/>
    <w:unhideWhenUsed/>
    <w:rsid w:val="004501B7"/>
    <w:pPr>
      <w:jc w:val="right"/>
    </w:pPr>
    <w:rPr>
      <w:rFonts w:ascii="Courier New" w:hAnsi="Courier New"/>
      <w:sz w:val="20"/>
      <w:szCs w:val="20"/>
      <w:lang w:val="x-none" w:eastAsia="x-none"/>
    </w:rPr>
  </w:style>
  <w:style w:type="character" w:customStyle="1" w:styleId="aa">
    <w:name w:val="טקסט רגיל תו"/>
    <w:link w:val="a9"/>
    <w:uiPriority w:val="99"/>
    <w:rsid w:val="004501B7"/>
    <w:rPr>
      <w:rFonts w:ascii="Courier New" w:hAnsi="Courier New" w:cs="Courier New"/>
    </w:rPr>
  </w:style>
  <w:style w:type="character" w:customStyle="1" w:styleId="st">
    <w:name w:val="st"/>
    <w:rsid w:val="00A53F68"/>
  </w:style>
  <w:style w:type="paragraph" w:styleId="ab">
    <w:name w:val="No Spacing"/>
    <w:uiPriority w:val="1"/>
    <w:qFormat/>
    <w:rsid w:val="0032007D"/>
    <w:pPr>
      <w:bidi/>
    </w:pPr>
    <w:rPr>
      <w:sz w:val="24"/>
      <w:szCs w:val="24"/>
    </w:rPr>
  </w:style>
  <w:style w:type="paragraph" w:styleId="ac">
    <w:name w:val="footnote text"/>
    <w:basedOn w:val="a"/>
    <w:link w:val="ad"/>
    <w:uiPriority w:val="99"/>
    <w:unhideWhenUsed/>
    <w:rsid w:val="009F6F5E"/>
    <w:pPr>
      <w:bidi w:val="0"/>
    </w:pPr>
    <w:rPr>
      <w:rFonts w:eastAsia="MS Mincho"/>
      <w:lang w:val="en-GB" w:eastAsia="fr-FR" w:bidi="ar-SA"/>
    </w:rPr>
  </w:style>
  <w:style w:type="character" w:customStyle="1" w:styleId="ad">
    <w:name w:val="טקסט הערת שוליים תו"/>
    <w:link w:val="ac"/>
    <w:uiPriority w:val="99"/>
    <w:rsid w:val="009F6F5E"/>
    <w:rPr>
      <w:rFonts w:eastAsia="MS Mincho"/>
      <w:sz w:val="24"/>
      <w:szCs w:val="24"/>
      <w:lang w:val="en-GB" w:eastAsia="fr-FR" w:bidi="ar-SA"/>
    </w:rPr>
  </w:style>
  <w:style w:type="character" w:styleId="ae">
    <w:name w:val="footnote reference"/>
    <w:uiPriority w:val="99"/>
    <w:unhideWhenUsed/>
    <w:rsid w:val="009F6F5E"/>
    <w:rPr>
      <w:vertAlign w:val="superscript"/>
    </w:rPr>
  </w:style>
  <w:style w:type="character" w:customStyle="1" w:styleId="30">
    <w:name w:val="כותרת 3 תו"/>
    <w:link w:val="3"/>
    <w:uiPriority w:val="9"/>
    <w:rsid w:val="00A73B75"/>
    <w:rPr>
      <w:b/>
      <w:bCs/>
      <w:sz w:val="27"/>
      <w:szCs w:val="27"/>
    </w:rPr>
  </w:style>
  <w:style w:type="character" w:customStyle="1" w:styleId="10">
    <w:name w:val="כותרת 1 תו"/>
    <w:link w:val="1"/>
    <w:uiPriority w:val="9"/>
    <w:rsid w:val="00CD0615"/>
    <w:rPr>
      <w:rFonts w:ascii="Cambria" w:eastAsia="Times New Roman" w:hAnsi="Cambria" w:cs="Times New Roman"/>
      <w:b/>
      <w:bCs/>
      <w:kern w:val="32"/>
      <w:sz w:val="32"/>
      <w:szCs w:val="32"/>
    </w:rPr>
  </w:style>
  <w:style w:type="paragraph" w:customStyle="1" w:styleId="bwalignc">
    <w:name w:val="bwalignc"/>
    <w:basedOn w:val="a"/>
    <w:rsid w:val="00CD0615"/>
    <w:pPr>
      <w:bidi w:val="0"/>
      <w:spacing w:after="336"/>
      <w:jc w:val="center"/>
    </w:pPr>
  </w:style>
  <w:style w:type="paragraph" w:customStyle="1" w:styleId="bwcellpmargin">
    <w:name w:val="bwcellpmargin"/>
    <w:basedOn w:val="a"/>
    <w:rsid w:val="00CD0615"/>
    <w:pPr>
      <w:bidi w:val="0"/>
    </w:pPr>
  </w:style>
  <w:style w:type="character" w:customStyle="1" w:styleId="bwct31415">
    <w:name w:val="bwct31415"/>
    <w:basedOn w:val="a0"/>
    <w:rsid w:val="00CD0615"/>
  </w:style>
  <w:style w:type="character" w:customStyle="1" w:styleId="20">
    <w:name w:val="כותרת 2 תו"/>
    <w:link w:val="2"/>
    <w:uiPriority w:val="9"/>
    <w:rsid w:val="002F788A"/>
    <w:rPr>
      <w:rFonts w:ascii="Cambria" w:eastAsia="Times New Roman" w:hAnsi="Cambria" w:cs="Times New Roman"/>
      <w:b/>
      <w:bCs/>
      <w:i/>
      <w:iCs/>
      <w:sz w:val="28"/>
      <w:szCs w:val="28"/>
    </w:rPr>
  </w:style>
  <w:style w:type="character" w:customStyle="1" w:styleId="bwuline1">
    <w:name w:val="bwuline1"/>
    <w:rsid w:val="00767C33"/>
    <w:rPr>
      <w:u w:val="single"/>
    </w:rPr>
  </w:style>
  <w:style w:type="paragraph" w:customStyle="1" w:styleId="51">
    <w:name w:val="5"/>
    <w:basedOn w:val="a"/>
    <w:next w:val="NormalWeb"/>
    <w:uiPriority w:val="99"/>
    <w:unhideWhenUsed/>
    <w:rsid w:val="00EA2A1D"/>
    <w:pPr>
      <w:bidi w:val="0"/>
      <w:spacing w:after="336"/>
    </w:pPr>
  </w:style>
  <w:style w:type="paragraph" w:customStyle="1" w:styleId="41">
    <w:name w:val="4"/>
    <w:basedOn w:val="a"/>
    <w:next w:val="NormalWeb"/>
    <w:uiPriority w:val="99"/>
    <w:unhideWhenUsed/>
    <w:rsid w:val="00FD5CD1"/>
    <w:pPr>
      <w:bidi w:val="0"/>
      <w:spacing w:after="336"/>
    </w:pPr>
  </w:style>
  <w:style w:type="character" w:customStyle="1" w:styleId="bodytext1">
    <w:name w:val="bodytext1"/>
    <w:rsid w:val="00363A74"/>
    <w:rPr>
      <w:rFonts w:ascii="Helvetica" w:hAnsi="Helvetica" w:cs="Helvetica"/>
      <w:color w:val="000000"/>
      <w:sz w:val="16"/>
      <w:szCs w:val="16"/>
      <w:u w:val="none"/>
      <w:effect w:val="none"/>
    </w:rPr>
  </w:style>
  <w:style w:type="paragraph" w:styleId="af">
    <w:name w:val="List Paragraph"/>
    <w:basedOn w:val="a"/>
    <w:link w:val="af0"/>
    <w:uiPriority w:val="34"/>
    <w:qFormat/>
    <w:rsid w:val="00363A74"/>
    <w:pPr>
      <w:bidi w:val="0"/>
      <w:spacing w:before="200" w:after="200" w:line="276" w:lineRule="auto"/>
      <w:ind w:left="720"/>
      <w:contextualSpacing/>
    </w:pPr>
    <w:rPr>
      <w:rFonts w:ascii="Calibri" w:hAnsi="Calibri"/>
      <w:sz w:val="20"/>
      <w:szCs w:val="20"/>
      <w:lang w:bidi="ar-SA"/>
    </w:rPr>
  </w:style>
  <w:style w:type="paragraph" w:customStyle="1" w:styleId="ET-PR-BodyText">
    <w:name w:val="ET-PR-BodyText"/>
    <w:basedOn w:val="a"/>
    <w:uiPriority w:val="99"/>
    <w:rsid w:val="00363A74"/>
    <w:pPr>
      <w:bidi w:val="0"/>
      <w:spacing w:before="100" w:beforeAutospacing="1" w:after="100" w:afterAutospacing="1" w:line="360" w:lineRule="auto"/>
    </w:pPr>
    <w:rPr>
      <w:rFonts w:ascii="Arial Narrow" w:hAnsi="Arial Narrow"/>
      <w:lang w:bidi="ar-SA"/>
    </w:rPr>
  </w:style>
  <w:style w:type="character" w:customStyle="1" w:styleId="af0">
    <w:name w:val="פיסקת רשימה תו"/>
    <w:link w:val="af"/>
    <w:uiPriority w:val="34"/>
    <w:rsid w:val="00363A74"/>
    <w:rPr>
      <w:rFonts w:ascii="Calibri" w:hAnsi="Calibri"/>
      <w:lang w:bidi="ar-SA"/>
    </w:rPr>
  </w:style>
  <w:style w:type="paragraph" w:customStyle="1" w:styleId="31">
    <w:name w:val="3"/>
    <w:basedOn w:val="a"/>
    <w:next w:val="NormalWeb"/>
    <w:uiPriority w:val="99"/>
    <w:unhideWhenUsed/>
    <w:rsid w:val="00F83C38"/>
    <w:pPr>
      <w:bidi w:val="0"/>
      <w:spacing w:after="336"/>
    </w:pPr>
  </w:style>
  <w:style w:type="paragraph" w:customStyle="1" w:styleId="21">
    <w:name w:val="2"/>
    <w:basedOn w:val="a"/>
    <w:next w:val="NormalWeb"/>
    <w:uiPriority w:val="99"/>
    <w:unhideWhenUsed/>
    <w:rsid w:val="00771E2B"/>
    <w:pPr>
      <w:bidi w:val="0"/>
      <w:spacing w:after="336"/>
    </w:pPr>
  </w:style>
  <w:style w:type="character" w:customStyle="1" w:styleId="apple-converted-space">
    <w:name w:val="apple-converted-space"/>
    <w:basedOn w:val="a0"/>
    <w:rsid w:val="005D1B60"/>
  </w:style>
  <w:style w:type="paragraph" w:customStyle="1" w:styleId="11">
    <w:name w:val="1"/>
    <w:basedOn w:val="a"/>
    <w:next w:val="NormalWeb"/>
    <w:uiPriority w:val="99"/>
    <w:unhideWhenUsed/>
    <w:rsid w:val="009D1149"/>
    <w:pPr>
      <w:bidi w:val="0"/>
      <w:spacing w:after="336"/>
    </w:pPr>
  </w:style>
  <w:style w:type="paragraph" w:customStyle="1" w:styleId="bwalignl">
    <w:name w:val="bwalignl"/>
    <w:basedOn w:val="a"/>
    <w:uiPriority w:val="99"/>
    <w:semiHidden/>
    <w:rsid w:val="00315F00"/>
    <w:pPr>
      <w:bidi w:val="0"/>
      <w:spacing w:after="336"/>
    </w:pPr>
  </w:style>
  <w:style w:type="character" w:styleId="af1">
    <w:name w:val="Unresolved Mention"/>
    <w:uiPriority w:val="99"/>
    <w:semiHidden/>
    <w:unhideWhenUsed/>
    <w:rsid w:val="00983A06"/>
    <w:rPr>
      <w:color w:val="605E5C"/>
      <w:shd w:val="clear" w:color="auto" w:fill="E1DFDD"/>
    </w:rPr>
  </w:style>
  <w:style w:type="character" w:styleId="af2">
    <w:name w:val="Strong"/>
    <w:uiPriority w:val="22"/>
    <w:qFormat/>
    <w:rsid w:val="00F01187"/>
    <w:rPr>
      <w:b/>
      <w:bCs/>
    </w:rPr>
  </w:style>
  <w:style w:type="character" w:customStyle="1" w:styleId="40">
    <w:name w:val="כותרת 4 תו"/>
    <w:link w:val="4"/>
    <w:uiPriority w:val="9"/>
    <w:rsid w:val="007B5CDF"/>
    <w:rPr>
      <w:rFonts w:ascii="Calibri" w:eastAsia="Times New Roman" w:hAnsi="Calibri" w:cs="Arial"/>
      <w:b/>
      <w:bCs/>
      <w:sz w:val="28"/>
      <w:szCs w:val="28"/>
    </w:rPr>
  </w:style>
  <w:style w:type="character" w:customStyle="1" w:styleId="50">
    <w:name w:val="כותרת 5 תו"/>
    <w:link w:val="5"/>
    <w:semiHidden/>
    <w:rsid w:val="007B5CDF"/>
    <w:rPr>
      <w:rFonts w:ascii="Calibri" w:eastAsia="Times New Roman" w:hAnsi="Calibri" w:cs="Arial"/>
      <w:b/>
      <w:bCs/>
      <w:i/>
      <w:iCs/>
      <w:sz w:val="26"/>
      <w:szCs w:val="26"/>
    </w:rPr>
  </w:style>
  <w:style w:type="numbering" w:customStyle="1" w:styleId="12">
    <w:name w:val="ללא רשימה1"/>
    <w:next w:val="a2"/>
    <w:uiPriority w:val="99"/>
    <w:semiHidden/>
    <w:unhideWhenUsed/>
    <w:rsid w:val="00314499"/>
  </w:style>
  <w:style w:type="character" w:customStyle="1" w:styleId="a4">
    <w:name w:val="כותרת עליונה תו"/>
    <w:link w:val="a3"/>
    <w:uiPriority w:val="99"/>
    <w:rsid w:val="00314499"/>
    <w:rPr>
      <w:sz w:val="24"/>
      <w:szCs w:val="24"/>
    </w:rPr>
  </w:style>
  <w:style w:type="paragraph" w:styleId="af3">
    <w:name w:val="Normal Indent"/>
    <w:basedOn w:val="a"/>
    <w:uiPriority w:val="99"/>
    <w:unhideWhenUsed/>
    <w:rsid w:val="00314499"/>
    <w:pPr>
      <w:bidi w:val="0"/>
      <w:spacing w:after="200" w:line="276" w:lineRule="auto"/>
      <w:ind w:left="720"/>
    </w:pPr>
    <w:rPr>
      <w:rFonts w:ascii="Calibri" w:eastAsia="Calibri" w:hAnsi="Calibri" w:cs="Arial"/>
      <w:sz w:val="22"/>
      <w:szCs w:val="22"/>
      <w:lang w:eastAsia="zh-CN" w:bidi="ar-SA"/>
    </w:rPr>
  </w:style>
  <w:style w:type="paragraph" w:styleId="af4">
    <w:name w:val="Subtitle"/>
    <w:basedOn w:val="a"/>
    <w:next w:val="a"/>
    <w:link w:val="af5"/>
    <w:uiPriority w:val="11"/>
    <w:qFormat/>
    <w:rsid w:val="00314499"/>
    <w:pPr>
      <w:numPr>
        <w:ilvl w:val="1"/>
      </w:numPr>
      <w:bidi w:val="0"/>
      <w:spacing w:after="200" w:line="276" w:lineRule="auto"/>
      <w:ind w:left="86"/>
    </w:pPr>
    <w:rPr>
      <w:rFonts w:ascii="Cambria" w:hAnsi="Cambria" w:cs="Arial"/>
      <w:i/>
      <w:iCs/>
      <w:color w:val="4F81BD"/>
      <w:spacing w:val="15"/>
      <w:lang w:eastAsia="zh-CN" w:bidi="ar-SA"/>
    </w:rPr>
  </w:style>
  <w:style w:type="character" w:customStyle="1" w:styleId="af5">
    <w:name w:val="כותרת משנה תו"/>
    <w:link w:val="af4"/>
    <w:uiPriority w:val="11"/>
    <w:rsid w:val="00314499"/>
    <w:rPr>
      <w:rFonts w:ascii="Cambria" w:hAnsi="Cambria" w:cs="Arial"/>
      <w:i/>
      <w:iCs/>
      <w:color w:val="4F81BD"/>
      <w:spacing w:val="15"/>
      <w:sz w:val="24"/>
      <w:szCs w:val="24"/>
      <w:lang w:eastAsia="zh-CN" w:bidi="ar-SA"/>
    </w:rPr>
  </w:style>
  <w:style w:type="paragraph" w:styleId="af6">
    <w:name w:val="Title"/>
    <w:basedOn w:val="a"/>
    <w:next w:val="a"/>
    <w:link w:val="af7"/>
    <w:uiPriority w:val="10"/>
    <w:qFormat/>
    <w:rsid w:val="00314499"/>
    <w:pPr>
      <w:pBdr>
        <w:bottom w:val="single" w:sz="8" w:space="4" w:color="4F81BD"/>
      </w:pBdr>
      <w:bidi w:val="0"/>
      <w:spacing w:after="300" w:line="276" w:lineRule="auto"/>
      <w:contextualSpacing/>
    </w:pPr>
    <w:rPr>
      <w:rFonts w:ascii="Cambria" w:hAnsi="Cambria" w:cs="Arial"/>
      <w:color w:val="17365D"/>
      <w:spacing w:val="5"/>
      <w:kern w:val="28"/>
      <w:sz w:val="52"/>
      <w:szCs w:val="52"/>
      <w:lang w:eastAsia="zh-CN" w:bidi="ar-SA"/>
    </w:rPr>
  </w:style>
  <w:style w:type="character" w:customStyle="1" w:styleId="af7">
    <w:name w:val="כותרת טקסט תו"/>
    <w:link w:val="af6"/>
    <w:uiPriority w:val="10"/>
    <w:rsid w:val="00314499"/>
    <w:rPr>
      <w:rFonts w:ascii="Cambria" w:hAnsi="Cambria" w:cs="Arial"/>
      <w:color w:val="17365D"/>
      <w:spacing w:val="5"/>
      <w:kern w:val="28"/>
      <w:sz w:val="52"/>
      <w:szCs w:val="52"/>
      <w:lang w:eastAsia="zh-CN" w:bidi="ar-SA"/>
    </w:rPr>
  </w:style>
  <w:style w:type="character" w:styleId="af8">
    <w:name w:val="Emphasis"/>
    <w:uiPriority w:val="20"/>
    <w:qFormat/>
    <w:rsid w:val="00314499"/>
    <w:rPr>
      <w:i/>
      <w:iCs/>
    </w:rPr>
  </w:style>
  <w:style w:type="table" w:styleId="af9">
    <w:name w:val="Table Grid"/>
    <w:basedOn w:val="a1"/>
    <w:uiPriority w:val="59"/>
    <w:rsid w:val="00314499"/>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a">
    <w:name w:val="caption"/>
    <w:basedOn w:val="a"/>
    <w:next w:val="a"/>
    <w:uiPriority w:val="35"/>
    <w:semiHidden/>
    <w:unhideWhenUsed/>
    <w:qFormat/>
    <w:rsid w:val="00314499"/>
    <w:pPr>
      <w:bidi w:val="0"/>
      <w:spacing w:after="200"/>
    </w:pPr>
    <w:rPr>
      <w:rFonts w:ascii="Calibri" w:eastAsia="Calibri" w:hAnsi="Calibri" w:cs="Arial"/>
      <w:b/>
      <w:bCs/>
      <w:color w:val="4F81BD"/>
      <w:sz w:val="18"/>
      <w:szCs w:val="18"/>
      <w:lang w:eastAsia="zh-CN" w:bidi="ar-SA"/>
    </w:rPr>
  </w:style>
  <w:style w:type="character" w:customStyle="1" w:styleId="a6">
    <w:name w:val="כותרת תחתונה תו"/>
    <w:link w:val="a5"/>
    <w:uiPriority w:val="99"/>
    <w:rsid w:val="00314499"/>
    <w:rPr>
      <w:sz w:val="24"/>
      <w:szCs w:val="24"/>
    </w:rPr>
  </w:style>
  <w:style w:type="character" w:styleId="afb">
    <w:name w:val="annotation reference"/>
    <w:rsid w:val="003570AB"/>
    <w:rPr>
      <w:sz w:val="16"/>
      <w:szCs w:val="16"/>
    </w:rPr>
  </w:style>
  <w:style w:type="paragraph" w:styleId="afc">
    <w:name w:val="annotation text"/>
    <w:basedOn w:val="a"/>
    <w:link w:val="afd"/>
    <w:rsid w:val="003570AB"/>
    <w:rPr>
      <w:sz w:val="20"/>
      <w:szCs w:val="20"/>
    </w:rPr>
  </w:style>
  <w:style w:type="character" w:customStyle="1" w:styleId="afd">
    <w:name w:val="טקסט הערה תו"/>
    <w:basedOn w:val="a0"/>
    <w:link w:val="afc"/>
    <w:rsid w:val="003570AB"/>
  </w:style>
  <w:style w:type="paragraph" w:styleId="afe">
    <w:name w:val="annotation subject"/>
    <w:basedOn w:val="afc"/>
    <w:next w:val="afc"/>
    <w:link w:val="aff"/>
    <w:rsid w:val="003570AB"/>
    <w:rPr>
      <w:b/>
      <w:bCs/>
    </w:rPr>
  </w:style>
  <w:style w:type="character" w:customStyle="1" w:styleId="aff">
    <w:name w:val="נושא הערה תו"/>
    <w:link w:val="afe"/>
    <w:rsid w:val="003570AB"/>
    <w:rPr>
      <w:b/>
      <w:bCs/>
    </w:rPr>
  </w:style>
  <w:style w:type="character" w:customStyle="1" w:styleId="ts-alignment-element">
    <w:name w:val="ts-alignment-element"/>
    <w:basedOn w:val="a0"/>
    <w:rsid w:val="00EB4375"/>
  </w:style>
  <w:style w:type="character" w:customStyle="1" w:styleId="ts-alignment-element-highlighted">
    <w:name w:val="ts-alignment-element-highlighted"/>
    <w:basedOn w:val="a0"/>
    <w:rsid w:val="00EB4375"/>
  </w:style>
  <w:style w:type="numbering" w:customStyle="1" w:styleId="22">
    <w:name w:val="ללא רשימה2"/>
    <w:next w:val="a2"/>
    <w:uiPriority w:val="99"/>
    <w:semiHidden/>
    <w:unhideWhenUsed/>
    <w:rsid w:val="0073434D"/>
  </w:style>
  <w:style w:type="paragraph" w:customStyle="1" w:styleId="msonormal0">
    <w:name w:val="msonormal"/>
    <w:basedOn w:val="a"/>
    <w:rsid w:val="0073434D"/>
    <w:pPr>
      <w:bidi w:val="0"/>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876">
      <w:bodyDiv w:val="1"/>
      <w:marLeft w:val="0"/>
      <w:marRight w:val="0"/>
      <w:marTop w:val="0"/>
      <w:marBottom w:val="0"/>
      <w:divBdr>
        <w:top w:val="none" w:sz="0" w:space="0" w:color="auto"/>
        <w:left w:val="none" w:sz="0" w:space="0" w:color="auto"/>
        <w:bottom w:val="none" w:sz="0" w:space="0" w:color="auto"/>
        <w:right w:val="none" w:sz="0" w:space="0" w:color="auto"/>
      </w:divBdr>
    </w:div>
    <w:div w:id="1013456">
      <w:bodyDiv w:val="1"/>
      <w:marLeft w:val="0"/>
      <w:marRight w:val="0"/>
      <w:marTop w:val="0"/>
      <w:marBottom w:val="0"/>
      <w:divBdr>
        <w:top w:val="none" w:sz="0" w:space="0" w:color="auto"/>
        <w:left w:val="none" w:sz="0" w:space="0" w:color="auto"/>
        <w:bottom w:val="none" w:sz="0" w:space="0" w:color="auto"/>
        <w:right w:val="none" w:sz="0" w:space="0" w:color="auto"/>
      </w:divBdr>
    </w:div>
    <w:div w:id="25063658">
      <w:bodyDiv w:val="1"/>
      <w:marLeft w:val="0"/>
      <w:marRight w:val="0"/>
      <w:marTop w:val="0"/>
      <w:marBottom w:val="0"/>
      <w:divBdr>
        <w:top w:val="none" w:sz="0" w:space="0" w:color="auto"/>
        <w:left w:val="none" w:sz="0" w:space="0" w:color="auto"/>
        <w:bottom w:val="none" w:sz="0" w:space="0" w:color="auto"/>
        <w:right w:val="none" w:sz="0" w:space="0" w:color="auto"/>
      </w:divBdr>
    </w:div>
    <w:div w:id="33971643">
      <w:bodyDiv w:val="1"/>
      <w:marLeft w:val="0"/>
      <w:marRight w:val="0"/>
      <w:marTop w:val="0"/>
      <w:marBottom w:val="0"/>
      <w:divBdr>
        <w:top w:val="none" w:sz="0" w:space="0" w:color="auto"/>
        <w:left w:val="none" w:sz="0" w:space="0" w:color="auto"/>
        <w:bottom w:val="none" w:sz="0" w:space="0" w:color="auto"/>
        <w:right w:val="none" w:sz="0" w:space="0" w:color="auto"/>
      </w:divBdr>
    </w:div>
    <w:div w:id="63837873">
      <w:bodyDiv w:val="1"/>
      <w:marLeft w:val="0"/>
      <w:marRight w:val="0"/>
      <w:marTop w:val="0"/>
      <w:marBottom w:val="0"/>
      <w:divBdr>
        <w:top w:val="none" w:sz="0" w:space="0" w:color="auto"/>
        <w:left w:val="none" w:sz="0" w:space="0" w:color="auto"/>
        <w:bottom w:val="none" w:sz="0" w:space="0" w:color="auto"/>
        <w:right w:val="none" w:sz="0" w:space="0" w:color="auto"/>
      </w:divBdr>
    </w:div>
    <w:div w:id="74208710">
      <w:bodyDiv w:val="1"/>
      <w:marLeft w:val="0"/>
      <w:marRight w:val="0"/>
      <w:marTop w:val="0"/>
      <w:marBottom w:val="0"/>
      <w:divBdr>
        <w:top w:val="none" w:sz="0" w:space="0" w:color="auto"/>
        <w:left w:val="none" w:sz="0" w:space="0" w:color="auto"/>
        <w:bottom w:val="none" w:sz="0" w:space="0" w:color="auto"/>
        <w:right w:val="none" w:sz="0" w:space="0" w:color="auto"/>
      </w:divBdr>
    </w:div>
    <w:div w:id="75632915">
      <w:bodyDiv w:val="1"/>
      <w:marLeft w:val="0"/>
      <w:marRight w:val="0"/>
      <w:marTop w:val="0"/>
      <w:marBottom w:val="0"/>
      <w:divBdr>
        <w:top w:val="none" w:sz="0" w:space="0" w:color="auto"/>
        <w:left w:val="none" w:sz="0" w:space="0" w:color="auto"/>
        <w:bottom w:val="none" w:sz="0" w:space="0" w:color="auto"/>
        <w:right w:val="none" w:sz="0" w:space="0" w:color="auto"/>
      </w:divBdr>
    </w:div>
    <w:div w:id="84762778">
      <w:bodyDiv w:val="1"/>
      <w:marLeft w:val="0"/>
      <w:marRight w:val="0"/>
      <w:marTop w:val="0"/>
      <w:marBottom w:val="0"/>
      <w:divBdr>
        <w:top w:val="none" w:sz="0" w:space="0" w:color="auto"/>
        <w:left w:val="none" w:sz="0" w:space="0" w:color="auto"/>
        <w:bottom w:val="none" w:sz="0" w:space="0" w:color="auto"/>
        <w:right w:val="none" w:sz="0" w:space="0" w:color="auto"/>
      </w:divBdr>
    </w:div>
    <w:div w:id="84956871">
      <w:bodyDiv w:val="1"/>
      <w:marLeft w:val="0"/>
      <w:marRight w:val="0"/>
      <w:marTop w:val="0"/>
      <w:marBottom w:val="0"/>
      <w:divBdr>
        <w:top w:val="none" w:sz="0" w:space="0" w:color="auto"/>
        <w:left w:val="none" w:sz="0" w:space="0" w:color="auto"/>
        <w:bottom w:val="none" w:sz="0" w:space="0" w:color="auto"/>
        <w:right w:val="none" w:sz="0" w:space="0" w:color="auto"/>
      </w:divBdr>
    </w:div>
    <w:div w:id="90518056">
      <w:bodyDiv w:val="1"/>
      <w:marLeft w:val="0"/>
      <w:marRight w:val="0"/>
      <w:marTop w:val="0"/>
      <w:marBottom w:val="0"/>
      <w:divBdr>
        <w:top w:val="none" w:sz="0" w:space="0" w:color="auto"/>
        <w:left w:val="none" w:sz="0" w:space="0" w:color="auto"/>
        <w:bottom w:val="none" w:sz="0" w:space="0" w:color="auto"/>
        <w:right w:val="none" w:sz="0" w:space="0" w:color="auto"/>
      </w:divBdr>
    </w:div>
    <w:div w:id="102500327">
      <w:bodyDiv w:val="1"/>
      <w:marLeft w:val="0"/>
      <w:marRight w:val="0"/>
      <w:marTop w:val="0"/>
      <w:marBottom w:val="0"/>
      <w:divBdr>
        <w:top w:val="none" w:sz="0" w:space="0" w:color="auto"/>
        <w:left w:val="none" w:sz="0" w:space="0" w:color="auto"/>
        <w:bottom w:val="none" w:sz="0" w:space="0" w:color="auto"/>
        <w:right w:val="none" w:sz="0" w:space="0" w:color="auto"/>
      </w:divBdr>
    </w:div>
    <w:div w:id="121115634">
      <w:bodyDiv w:val="1"/>
      <w:marLeft w:val="0"/>
      <w:marRight w:val="0"/>
      <w:marTop w:val="0"/>
      <w:marBottom w:val="0"/>
      <w:divBdr>
        <w:top w:val="none" w:sz="0" w:space="0" w:color="auto"/>
        <w:left w:val="none" w:sz="0" w:space="0" w:color="auto"/>
        <w:bottom w:val="none" w:sz="0" w:space="0" w:color="auto"/>
        <w:right w:val="none" w:sz="0" w:space="0" w:color="auto"/>
      </w:divBdr>
    </w:div>
    <w:div w:id="134611228">
      <w:bodyDiv w:val="1"/>
      <w:marLeft w:val="0"/>
      <w:marRight w:val="0"/>
      <w:marTop w:val="0"/>
      <w:marBottom w:val="0"/>
      <w:divBdr>
        <w:top w:val="none" w:sz="0" w:space="0" w:color="auto"/>
        <w:left w:val="none" w:sz="0" w:space="0" w:color="auto"/>
        <w:bottom w:val="none" w:sz="0" w:space="0" w:color="auto"/>
        <w:right w:val="none" w:sz="0" w:space="0" w:color="auto"/>
      </w:divBdr>
    </w:div>
    <w:div w:id="151609468">
      <w:bodyDiv w:val="1"/>
      <w:marLeft w:val="0"/>
      <w:marRight w:val="0"/>
      <w:marTop w:val="0"/>
      <w:marBottom w:val="0"/>
      <w:divBdr>
        <w:top w:val="none" w:sz="0" w:space="0" w:color="auto"/>
        <w:left w:val="none" w:sz="0" w:space="0" w:color="auto"/>
        <w:bottom w:val="none" w:sz="0" w:space="0" w:color="auto"/>
        <w:right w:val="none" w:sz="0" w:space="0" w:color="auto"/>
      </w:divBdr>
    </w:div>
    <w:div w:id="160856816">
      <w:bodyDiv w:val="1"/>
      <w:marLeft w:val="0"/>
      <w:marRight w:val="0"/>
      <w:marTop w:val="0"/>
      <w:marBottom w:val="0"/>
      <w:divBdr>
        <w:top w:val="none" w:sz="0" w:space="0" w:color="auto"/>
        <w:left w:val="none" w:sz="0" w:space="0" w:color="auto"/>
        <w:bottom w:val="none" w:sz="0" w:space="0" w:color="auto"/>
        <w:right w:val="none" w:sz="0" w:space="0" w:color="auto"/>
      </w:divBdr>
    </w:div>
    <w:div w:id="164051859">
      <w:bodyDiv w:val="1"/>
      <w:marLeft w:val="0"/>
      <w:marRight w:val="0"/>
      <w:marTop w:val="0"/>
      <w:marBottom w:val="0"/>
      <w:divBdr>
        <w:top w:val="none" w:sz="0" w:space="0" w:color="auto"/>
        <w:left w:val="none" w:sz="0" w:space="0" w:color="auto"/>
        <w:bottom w:val="none" w:sz="0" w:space="0" w:color="auto"/>
        <w:right w:val="none" w:sz="0" w:space="0" w:color="auto"/>
      </w:divBdr>
    </w:div>
    <w:div w:id="164170071">
      <w:bodyDiv w:val="1"/>
      <w:marLeft w:val="0"/>
      <w:marRight w:val="0"/>
      <w:marTop w:val="0"/>
      <w:marBottom w:val="0"/>
      <w:divBdr>
        <w:top w:val="none" w:sz="0" w:space="0" w:color="auto"/>
        <w:left w:val="none" w:sz="0" w:space="0" w:color="auto"/>
        <w:bottom w:val="none" w:sz="0" w:space="0" w:color="auto"/>
        <w:right w:val="none" w:sz="0" w:space="0" w:color="auto"/>
      </w:divBdr>
    </w:div>
    <w:div w:id="192772575">
      <w:bodyDiv w:val="1"/>
      <w:marLeft w:val="0"/>
      <w:marRight w:val="0"/>
      <w:marTop w:val="0"/>
      <w:marBottom w:val="0"/>
      <w:divBdr>
        <w:top w:val="none" w:sz="0" w:space="0" w:color="auto"/>
        <w:left w:val="none" w:sz="0" w:space="0" w:color="auto"/>
        <w:bottom w:val="none" w:sz="0" w:space="0" w:color="auto"/>
        <w:right w:val="none" w:sz="0" w:space="0" w:color="auto"/>
      </w:divBdr>
    </w:div>
    <w:div w:id="197007634">
      <w:bodyDiv w:val="1"/>
      <w:marLeft w:val="0"/>
      <w:marRight w:val="0"/>
      <w:marTop w:val="0"/>
      <w:marBottom w:val="0"/>
      <w:divBdr>
        <w:top w:val="none" w:sz="0" w:space="0" w:color="auto"/>
        <w:left w:val="none" w:sz="0" w:space="0" w:color="auto"/>
        <w:bottom w:val="none" w:sz="0" w:space="0" w:color="auto"/>
        <w:right w:val="none" w:sz="0" w:space="0" w:color="auto"/>
      </w:divBdr>
      <w:divsChild>
        <w:div w:id="464204253">
          <w:marLeft w:val="0"/>
          <w:marRight w:val="0"/>
          <w:marTop w:val="0"/>
          <w:marBottom w:val="0"/>
          <w:divBdr>
            <w:top w:val="none" w:sz="0" w:space="0" w:color="auto"/>
            <w:left w:val="none" w:sz="0" w:space="0" w:color="auto"/>
            <w:bottom w:val="none" w:sz="0" w:space="0" w:color="auto"/>
            <w:right w:val="none" w:sz="0" w:space="0" w:color="auto"/>
          </w:divBdr>
          <w:divsChild>
            <w:div w:id="1974098090">
              <w:marLeft w:val="0"/>
              <w:marRight w:val="0"/>
              <w:marTop w:val="0"/>
              <w:marBottom w:val="0"/>
              <w:divBdr>
                <w:top w:val="none" w:sz="0" w:space="0" w:color="auto"/>
                <w:left w:val="none" w:sz="0" w:space="0" w:color="auto"/>
                <w:bottom w:val="none" w:sz="0" w:space="0" w:color="auto"/>
                <w:right w:val="none" w:sz="0" w:space="0" w:color="auto"/>
              </w:divBdr>
              <w:divsChild>
                <w:div w:id="208304863">
                  <w:marLeft w:val="0"/>
                  <w:marRight w:val="0"/>
                  <w:marTop w:val="0"/>
                  <w:marBottom w:val="0"/>
                  <w:divBdr>
                    <w:top w:val="none" w:sz="0" w:space="0" w:color="auto"/>
                    <w:left w:val="none" w:sz="0" w:space="0" w:color="auto"/>
                    <w:bottom w:val="none" w:sz="0" w:space="0" w:color="auto"/>
                    <w:right w:val="none" w:sz="0" w:space="0" w:color="auto"/>
                  </w:divBdr>
                </w:div>
                <w:div w:id="660699981">
                  <w:marLeft w:val="0"/>
                  <w:marRight w:val="0"/>
                  <w:marTop w:val="0"/>
                  <w:marBottom w:val="0"/>
                  <w:divBdr>
                    <w:top w:val="none" w:sz="0" w:space="0" w:color="auto"/>
                    <w:left w:val="none" w:sz="0" w:space="0" w:color="auto"/>
                    <w:bottom w:val="none" w:sz="0" w:space="0" w:color="auto"/>
                    <w:right w:val="none" w:sz="0" w:space="0" w:color="auto"/>
                  </w:divBdr>
                </w:div>
                <w:div w:id="166061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3593">
      <w:bodyDiv w:val="1"/>
      <w:marLeft w:val="0"/>
      <w:marRight w:val="0"/>
      <w:marTop w:val="0"/>
      <w:marBottom w:val="0"/>
      <w:divBdr>
        <w:top w:val="none" w:sz="0" w:space="0" w:color="auto"/>
        <w:left w:val="none" w:sz="0" w:space="0" w:color="auto"/>
        <w:bottom w:val="none" w:sz="0" w:space="0" w:color="auto"/>
        <w:right w:val="none" w:sz="0" w:space="0" w:color="auto"/>
      </w:divBdr>
    </w:div>
    <w:div w:id="204946248">
      <w:bodyDiv w:val="1"/>
      <w:marLeft w:val="0"/>
      <w:marRight w:val="0"/>
      <w:marTop w:val="0"/>
      <w:marBottom w:val="0"/>
      <w:divBdr>
        <w:top w:val="none" w:sz="0" w:space="0" w:color="auto"/>
        <w:left w:val="none" w:sz="0" w:space="0" w:color="auto"/>
        <w:bottom w:val="none" w:sz="0" w:space="0" w:color="auto"/>
        <w:right w:val="none" w:sz="0" w:space="0" w:color="auto"/>
      </w:divBdr>
    </w:div>
    <w:div w:id="210576813">
      <w:bodyDiv w:val="1"/>
      <w:marLeft w:val="0"/>
      <w:marRight w:val="0"/>
      <w:marTop w:val="0"/>
      <w:marBottom w:val="0"/>
      <w:divBdr>
        <w:top w:val="none" w:sz="0" w:space="0" w:color="auto"/>
        <w:left w:val="none" w:sz="0" w:space="0" w:color="auto"/>
        <w:bottom w:val="none" w:sz="0" w:space="0" w:color="auto"/>
        <w:right w:val="none" w:sz="0" w:space="0" w:color="auto"/>
      </w:divBdr>
    </w:div>
    <w:div w:id="213591227">
      <w:bodyDiv w:val="1"/>
      <w:marLeft w:val="0"/>
      <w:marRight w:val="0"/>
      <w:marTop w:val="0"/>
      <w:marBottom w:val="0"/>
      <w:divBdr>
        <w:top w:val="none" w:sz="0" w:space="0" w:color="auto"/>
        <w:left w:val="none" w:sz="0" w:space="0" w:color="auto"/>
        <w:bottom w:val="none" w:sz="0" w:space="0" w:color="auto"/>
        <w:right w:val="none" w:sz="0" w:space="0" w:color="auto"/>
      </w:divBdr>
    </w:div>
    <w:div w:id="215052877">
      <w:bodyDiv w:val="1"/>
      <w:marLeft w:val="0"/>
      <w:marRight w:val="0"/>
      <w:marTop w:val="0"/>
      <w:marBottom w:val="0"/>
      <w:divBdr>
        <w:top w:val="none" w:sz="0" w:space="0" w:color="auto"/>
        <w:left w:val="none" w:sz="0" w:space="0" w:color="auto"/>
        <w:bottom w:val="none" w:sz="0" w:space="0" w:color="auto"/>
        <w:right w:val="none" w:sz="0" w:space="0" w:color="auto"/>
      </w:divBdr>
    </w:div>
    <w:div w:id="226183480">
      <w:bodyDiv w:val="1"/>
      <w:marLeft w:val="0"/>
      <w:marRight w:val="0"/>
      <w:marTop w:val="0"/>
      <w:marBottom w:val="0"/>
      <w:divBdr>
        <w:top w:val="none" w:sz="0" w:space="0" w:color="auto"/>
        <w:left w:val="none" w:sz="0" w:space="0" w:color="auto"/>
        <w:bottom w:val="none" w:sz="0" w:space="0" w:color="auto"/>
        <w:right w:val="none" w:sz="0" w:space="0" w:color="auto"/>
      </w:divBdr>
    </w:div>
    <w:div w:id="245235993">
      <w:bodyDiv w:val="1"/>
      <w:marLeft w:val="0"/>
      <w:marRight w:val="0"/>
      <w:marTop w:val="0"/>
      <w:marBottom w:val="0"/>
      <w:divBdr>
        <w:top w:val="none" w:sz="0" w:space="0" w:color="auto"/>
        <w:left w:val="none" w:sz="0" w:space="0" w:color="auto"/>
        <w:bottom w:val="none" w:sz="0" w:space="0" w:color="auto"/>
        <w:right w:val="none" w:sz="0" w:space="0" w:color="auto"/>
      </w:divBdr>
    </w:div>
    <w:div w:id="259025643">
      <w:bodyDiv w:val="1"/>
      <w:marLeft w:val="0"/>
      <w:marRight w:val="0"/>
      <w:marTop w:val="0"/>
      <w:marBottom w:val="0"/>
      <w:divBdr>
        <w:top w:val="none" w:sz="0" w:space="0" w:color="auto"/>
        <w:left w:val="none" w:sz="0" w:space="0" w:color="auto"/>
        <w:bottom w:val="none" w:sz="0" w:space="0" w:color="auto"/>
        <w:right w:val="none" w:sz="0" w:space="0" w:color="auto"/>
      </w:divBdr>
    </w:div>
    <w:div w:id="275987760">
      <w:bodyDiv w:val="1"/>
      <w:marLeft w:val="0"/>
      <w:marRight w:val="0"/>
      <w:marTop w:val="0"/>
      <w:marBottom w:val="0"/>
      <w:divBdr>
        <w:top w:val="none" w:sz="0" w:space="0" w:color="auto"/>
        <w:left w:val="none" w:sz="0" w:space="0" w:color="auto"/>
        <w:bottom w:val="none" w:sz="0" w:space="0" w:color="auto"/>
        <w:right w:val="none" w:sz="0" w:space="0" w:color="auto"/>
      </w:divBdr>
    </w:div>
    <w:div w:id="286397432">
      <w:bodyDiv w:val="1"/>
      <w:marLeft w:val="0"/>
      <w:marRight w:val="0"/>
      <w:marTop w:val="0"/>
      <w:marBottom w:val="0"/>
      <w:divBdr>
        <w:top w:val="none" w:sz="0" w:space="0" w:color="auto"/>
        <w:left w:val="none" w:sz="0" w:space="0" w:color="auto"/>
        <w:bottom w:val="none" w:sz="0" w:space="0" w:color="auto"/>
        <w:right w:val="none" w:sz="0" w:space="0" w:color="auto"/>
      </w:divBdr>
    </w:div>
    <w:div w:id="289825628">
      <w:bodyDiv w:val="1"/>
      <w:marLeft w:val="0"/>
      <w:marRight w:val="0"/>
      <w:marTop w:val="0"/>
      <w:marBottom w:val="0"/>
      <w:divBdr>
        <w:top w:val="none" w:sz="0" w:space="0" w:color="auto"/>
        <w:left w:val="none" w:sz="0" w:space="0" w:color="auto"/>
        <w:bottom w:val="none" w:sz="0" w:space="0" w:color="auto"/>
        <w:right w:val="none" w:sz="0" w:space="0" w:color="auto"/>
      </w:divBdr>
    </w:div>
    <w:div w:id="292177371">
      <w:bodyDiv w:val="1"/>
      <w:marLeft w:val="0"/>
      <w:marRight w:val="0"/>
      <w:marTop w:val="0"/>
      <w:marBottom w:val="0"/>
      <w:divBdr>
        <w:top w:val="none" w:sz="0" w:space="0" w:color="auto"/>
        <w:left w:val="none" w:sz="0" w:space="0" w:color="auto"/>
        <w:bottom w:val="none" w:sz="0" w:space="0" w:color="auto"/>
        <w:right w:val="none" w:sz="0" w:space="0" w:color="auto"/>
      </w:divBdr>
    </w:div>
    <w:div w:id="306862941">
      <w:bodyDiv w:val="1"/>
      <w:marLeft w:val="0"/>
      <w:marRight w:val="0"/>
      <w:marTop w:val="0"/>
      <w:marBottom w:val="0"/>
      <w:divBdr>
        <w:top w:val="none" w:sz="0" w:space="0" w:color="auto"/>
        <w:left w:val="none" w:sz="0" w:space="0" w:color="auto"/>
        <w:bottom w:val="none" w:sz="0" w:space="0" w:color="auto"/>
        <w:right w:val="none" w:sz="0" w:space="0" w:color="auto"/>
      </w:divBdr>
    </w:div>
    <w:div w:id="307324161">
      <w:bodyDiv w:val="1"/>
      <w:marLeft w:val="0"/>
      <w:marRight w:val="0"/>
      <w:marTop w:val="0"/>
      <w:marBottom w:val="0"/>
      <w:divBdr>
        <w:top w:val="none" w:sz="0" w:space="0" w:color="auto"/>
        <w:left w:val="none" w:sz="0" w:space="0" w:color="auto"/>
        <w:bottom w:val="none" w:sz="0" w:space="0" w:color="auto"/>
        <w:right w:val="none" w:sz="0" w:space="0" w:color="auto"/>
      </w:divBdr>
    </w:div>
    <w:div w:id="310837374">
      <w:bodyDiv w:val="1"/>
      <w:marLeft w:val="0"/>
      <w:marRight w:val="0"/>
      <w:marTop w:val="0"/>
      <w:marBottom w:val="0"/>
      <w:divBdr>
        <w:top w:val="none" w:sz="0" w:space="0" w:color="auto"/>
        <w:left w:val="none" w:sz="0" w:space="0" w:color="auto"/>
        <w:bottom w:val="none" w:sz="0" w:space="0" w:color="auto"/>
        <w:right w:val="none" w:sz="0" w:space="0" w:color="auto"/>
      </w:divBdr>
    </w:div>
    <w:div w:id="325329326">
      <w:bodyDiv w:val="1"/>
      <w:marLeft w:val="0"/>
      <w:marRight w:val="0"/>
      <w:marTop w:val="0"/>
      <w:marBottom w:val="0"/>
      <w:divBdr>
        <w:top w:val="none" w:sz="0" w:space="0" w:color="auto"/>
        <w:left w:val="none" w:sz="0" w:space="0" w:color="auto"/>
        <w:bottom w:val="none" w:sz="0" w:space="0" w:color="auto"/>
        <w:right w:val="none" w:sz="0" w:space="0" w:color="auto"/>
      </w:divBdr>
    </w:div>
    <w:div w:id="332494502">
      <w:bodyDiv w:val="1"/>
      <w:marLeft w:val="0"/>
      <w:marRight w:val="0"/>
      <w:marTop w:val="0"/>
      <w:marBottom w:val="0"/>
      <w:divBdr>
        <w:top w:val="none" w:sz="0" w:space="0" w:color="auto"/>
        <w:left w:val="none" w:sz="0" w:space="0" w:color="auto"/>
        <w:bottom w:val="none" w:sz="0" w:space="0" w:color="auto"/>
        <w:right w:val="none" w:sz="0" w:space="0" w:color="auto"/>
      </w:divBdr>
    </w:div>
    <w:div w:id="343480051">
      <w:bodyDiv w:val="1"/>
      <w:marLeft w:val="0"/>
      <w:marRight w:val="0"/>
      <w:marTop w:val="0"/>
      <w:marBottom w:val="0"/>
      <w:divBdr>
        <w:top w:val="none" w:sz="0" w:space="0" w:color="auto"/>
        <w:left w:val="none" w:sz="0" w:space="0" w:color="auto"/>
        <w:bottom w:val="none" w:sz="0" w:space="0" w:color="auto"/>
        <w:right w:val="none" w:sz="0" w:space="0" w:color="auto"/>
      </w:divBdr>
    </w:div>
    <w:div w:id="343824202">
      <w:bodyDiv w:val="1"/>
      <w:marLeft w:val="0"/>
      <w:marRight w:val="0"/>
      <w:marTop w:val="0"/>
      <w:marBottom w:val="0"/>
      <w:divBdr>
        <w:top w:val="none" w:sz="0" w:space="0" w:color="auto"/>
        <w:left w:val="none" w:sz="0" w:space="0" w:color="auto"/>
        <w:bottom w:val="none" w:sz="0" w:space="0" w:color="auto"/>
        <w:right w:val="none" w:sz="0" w:space="0" w:color="auto"/>
      </w:divBdr>
    </w:div>
    <w:div w:id="351416831">
      <w:bodyDiv w:val="1"/>
      <w:marLeft w:val="0"/>
      <w:marRight w:val="0"/>
      <w:marTop w:val="0"/>
      <w:marBottom w:val="0"/>
      <w:divBdr>
        <w:top w:val="none" w:sz="0" w:space="0" w:color="auto"/>
        <w:left w:val="none" w:sz="0" w:space="0" w:color="auto"/>
        <w:bottom w:val="none" w:sz="0" w:space="0" w:color="auto"/>
        <w:right w:val="none" w:sz="0" w:space="0" w:color="auto"/>
      </w:divBdr>
    </w:div>
    <w:div w:id="365982107">
      <w:bodyDiv w:val="1"/>
      <w:marLeft w:val="0"/>
      <w:marRight w:val="0"/>
      <w:marTop w:val="0"/>
      <w:marBottom w:val="0"/>
      <w:divBdr>
        <w:top w:val="none" w:sz="0" w:space="0" w:color="auto"/>
        <w:left w:val="none" w:sz="0" w:space="0" w:color="auto"/>
        <w:bottom w:val="none" w:sz="0" w:space="0" w:color="auto"/>
        <w:right w:val="none" w:sz="0" w:space="0" w:color="auto"/>
      </w:divBdr>
    </w:div>
    <w:div w:id="368802752">
      <w:bodyDiv w:val="1"/>
      <w:marLeft w:val="0"/>
      <w:marRight w:val="0"/>
      <w:marTop w:val="0"/>
      <w:marBottom w:val="0"/>
      <w:divBdr>
        <w:top w:val="none" w:sz="0" w:space="0" w:color="auto"/>
        <w:left w:val="none" w:sz="0" w:space="0" w:color="auto"/>
        <w:bottom w:val="none" w:sz="0" w:space="0" w:color="auto"/>
        <w:right w:val="none" w:sz="0" w:space="0" w:color="auto"/>
      </w:divBdr>
    </w:div>
    <w:div w:id="372580104">
      <w:bodyDiv w:val="1"/>
      <w:marLeft w:val="0"/>
      <w:marRight w:val="0"/>
      <w:marTop w:val="0"/>
      <w:marBottom w:val="0"/>
      <w:divBdr>
        <w:top w:val="none" w:sz="0" w:space="0" w:color="auto"/>
        <w:left w:val="none" w:sz="0" w:space="0" w:color="auto"/>
        <w:bottom w:val="none" w:sz="0" w:space="0" w:color="auto"/>
        <w:right w:val="none" w:sz="0" w:space="0" w:color="auto"/>
      </w:divBdr>
    </w:div>
    <w:div w:id="382945769">
      <w:bodyDiv w:val="1"/>
      <w:marLeft w:val="0"/>
      <w:marRight w:val="0"/>
      <w:marTop w:val="0"/>
      <w:marBottom w:val="0"/>
      <w:divBdr>
        <w:top w:val="none" w:sz="0" w:space="0" w:color="auto"/>
        <w:left w:val="none" w:sz="0" w:space="0" w:color="auto"/>
        <w:bottom w:val="none" w:sz="0" w:space="0" w:color="auto"/>
        <w:right w:val="none" w:sz="0" w:space="0" w:color="auto"/>
      </w:divBdr>
    </w:div>
    <w:div w:id="390540676">
      <w:bodyDiv w:val="1"/>
      <w:marLeft w:val="0"/>
      <w:marRight w:val="0"/>
      <w:marTop w:val="0"/>
      <w:marBottom w:val="0"/>
      <w:divBdr>
        <w:top w:val="none" w:sz="0" w:space="0" w:color="auto"/>
        <w:left w:val="none" w:sz="0" w:space="0" w:color="auto"/>
        <w:bottom w:val="none" w:sz="0" w:space="0" w:color="auto"/>
        <w:right w:val="none" w:sz="0" w:space="0" w:color="auto"/>
      </w:divBdr>
    </w:div>
    <w:div w:id="400369797">
      <w:bodyDiv w:val="1"/>
      <w:marLeft w:val="0"/>
      <w:marRight w:val="0"/>
      <w:marTop w:val="0"/>
      <w:marBottom w:val="0"/>
      <w:divBdr>
        <w:top w:val="none" w:sz="0" w:space="0" w:color="auto"/>
        <w:left w:val="none" w:sz="0" w:space="0" w:color="auto"/>
        <w:bottom w:val="none" w:sz="0" w:space="0" w:color="auto"/>
        <w:right w:val="none" w:sz="0" w:space="0" w:color="auto"/>
      </w:divBdr>
    </w:div>
    <w:div w:id="401097148">
      <w:bodyDiv w:val="1"/>
      <w:marLeft w:val="0"/>
      <w:marRight w:val="0"/>
      <w:marTop w:val="0"/>
      <w:marBottom w:val="0"/>
      <w:divBdr>
        <w:top w:val="none" w:sz="0" w:space="0" w:color="auto"/>
        <w:left w:val="none" w:sz="0" w:space="0" w:color="auto"/>
        <w:bottom w:val="none" w:sz="0" w:space="0" w:color="auto"/>
        <w:right w:val="none" w:sz="0" w:space="0" w:color="auto"/>
      </w:divBdr>
    </w:div>
    <w:div w:id="403450535">
      <w:bodyDiv w:val="1"/>
      <w:marLeft w:val="0"/>
      <w:marRight w:val="0"/>
      <w:marTop w:val="0"/>
      <w:marBottom w:val="0"/>
      <w:divBdr>
        <w:top w:val="none" w:sz="0" w:space="0" w:color="auto"/>
        <w:left w:val="none" w:sz="0" w:space="0" w:color="auto"/>
        <w:bottom w:val="none" w:sz="0" w:space="0" w:color="auto"/>
        <w:right w:val="none" w:sz="0" w:space="0" w:color="auto"/>
      </w:divBdr>
    </w:div>
    <w:div w:id="413287378">
      <w:bodyDiv w:val="1"/>
      <w:marLeft w:val="0"/>
      <w:marRight w:val="0"/>
      <w:marTop w:val="0"/>
      <w:marBottom w:val="0"/>
      <w:divBdr>
        <w:top w:val="none" w:sz="0" w:space="0" w:color="auto"/>
        <w:left w:val="none" w:sz="0" w:space="0" w:color="auto"/>
        <w:bottom w:val="none" w:sz="0" w:space="0" w:color="auto"/>
        <w:right w:val="none" w:sz="0" w:space="0" w:color="auto"/>
      </w:divBdr>
    </w:div>
    <w:div w:id="420567928">
      <w:bodyDiv w:val="1"/>
      <w:marLeft w:val="0"/>
      <w:marRight w:val="0"/>
      <w:marTop w:val="0"/>
      <w:marBottom w:val="0"/>
      <w:divBdr>
        <w:top w:val="none" w:sz="0" w:space="0" w:color="auto"/>
        <w:left w:val="none" w:sz="0" w:space="0" w:color="auto"/>
        <w:bottom w:val="none" w:sz="0" w:space="0" w:color="auto"/>
        <w:right w:val="none" w:sz="0" w:space="0" w:color="auto"/>
      </w:divBdr>
    </w:div>
    <w:div w:id="430515547">
      <w:bodyDiv w:val="1"/>
      <w:marLeft w:val="0"/>
      <w:marRight w:val="0"/>
      <w:marTop w:val="0"/>
      <w:marBottom w:val="0"/>
      <w:divBdr>
        <w:top w:val="none" w:sz="0" w:space="0" w:color="auto"/>
        <w:left w:val="none" w:sz="0" w:space="0" w:color="auto"/>
        <w:bottom w:val="none" w:sz="0" w:space="0" w:color="auto"/>
        <w:right w:val="none" w:sz="0" w:space="0" w:color="auto"/>
      </w:divBdr>
      <w:divsChild>
        <w:div w:id="1790858246">
          <w:marLeft w:val="0"/>
          <w:marRight w:val="0"/>
          <w:marTop w:val="0"/>
          <w:marBottom w:val="0"/>
          <w:divBdr>
            <w:top w:val="none" w:sz="0" w:space="0" w:color="auto"/>
            <w:left w:val="none" w:sz="0" w:space="0" w:color="auto"/>
            <w:bottom w:val="none" w:sz="0" w:space="0" w:color="auto"/>
            <w:right w:val="none" w:sz="0" w:space="0" w:color="auto"/>
          </w:divBdr>
          <w:divsChild>
            <w:div w:id="1108889501">
              <w:marLeft w:val="0"/>
              <w:marRight w:val="0"/>
              <w:marTop w:val="0"/>
              <w:marBottom w:val="0"/>
              <w:divBdr>
                <w:top w:val="none" w:sz="0" w:space="0" w:color="auto"/>
                <w:left w:val="none" w:sz="0" w:space="0" w:color="auto"/>
                <w:bottom w:val="none" w:sz="0" w:space="0" w:color="auto"/>
                <w:right w:val="none" w:sz="0" w:space="0" w:color="auto"/>
              </w:divBdr>
              <w:divsChild>
                <w:div w:id="137456586">
                  <w:marLeft w:val="0"/>
                  <w:marRight w:val="0"/>
                  <w:marTop w:val="0"/>
                  <w:marBottom w:val="0"/>
                  <w:divBdr>
                    <w:top w:val="none" w:sz="0" w:space="0" w:color="auto"/>
                    <w:left w:val="none" w:sz="0" w:space="0" w:color="auto"/>
                    <w:bottom w:val="none" w:sz="0" w:space="0" w:color="auto"/>
                    <w:right w:val="none" w:sz="0" w:space="0" w:color="auto"/>
                  </w:divBdr>
                </w:div>
                <w:div w:id="407651323">
                  <w:marLeft w:val="0"/>
                  <w:marRight w:val="0"/>
                  <w:marTop w:val="0"/>
                  <w:marBottom w:val="0"/>
                  <w:divBdr>
                    <w:top w:val="none" w:sz="0" w:space="0" w:color="auto"/>
                    <w:left w:val="none" w:sz="0" w:space="0" w:color="auto"/>
                    <w:bottom w:val="none" w:sz="0" w:space="0" w:color="auto"/>
                    <w:right w:val="none" w:sz="0" w:space="0" w:color="auto"/>
                  </w:divBdr>
                </w:div>
                <w:div w:id="513762359">
                  <w:marLeft w:val="0"/>
                  <w:marRight w:val="0"/>
                  <w:marTop w:val="0"/>
                  <w:marBottom w:val="0"/>
                  <w:divBdr>
                    <w:top w:val="none" w:sz="0" w:space="0" w:color="auto"/>
                    <w:left w:val="none" w:sz="0" w:space="0" w:color="auto"/>
                    <w:bottom w:val="none" w:sz="0" w:space="0" w:color="auto"/>
                    <w:right w:val="none" w:sz="0" w:space="0" w:color="auto"/>
                  </w:divBdr>
                </w:div>
                <w:div w:id="889923392">
                  <w:marLeft w:val="0"/>
                  <w:marRight w:val="0"/>
                  <w:marTop w:val="0"/>
                  <w:marBottom w:val="0"/>
                  <w:divBdr>
                    <w:top w:val="none" w:sz="0" w:space="0" w:color="auto"/>
                    <w:left w:val="none" w:sz="0" w:space="0" w:color="auto"/>
                    <w:bottom w:val="none" w:sz="0" w:space="0" w:color="auto"/>
                    <w:right w:val="none" w:sz="0" w:space="0" w:color="auto"/>
                  </w:divBdr>
                </w:div>
                <w:div w:id="1037513119">
                  <w:marLeft w:val="0"/>
                  <w:marRight w:val="0"/>
                  <w:marTop w:val="0"/>
                  <w:marBottom w:val="0"/>
                  <w:divBdr>
                    <w:top w:val="none" w:sz="0" w:space="0" w:color="auto"/>
                    <w:left w:val="none" w:sz="0" w:space="0" w:color="auto"/>
                    <w:bottom w:val="none" w:sz="0" w:space="0" w:color="auto"/>
                    <w:right w:val="none" w:sz="0" w:space="0" w:color="auto"/>
                  </w:divBdr>
                </w:div>
                <w:div w:id="1060712908">
                  <w:marLeft w:val="0"/>
                  <w:marRight w:val="0"/>
                  <w:marTop w:val="0"/>
                  <w:marBottom w:val="0"/>
                  <w:divBdr>
                    <w:top w:val="none" w:sz="0" w:space="0" w:color="auto"/>
                    <w:left w:val="none" w:sz="0" w:space="0" w:color="auto"/>
                    <w:bottom w:val="none" w:sz="0" w:space="0" w:color="auto"/>
                    <w:right w:val="none" w:sz="0" w:space="0" w:color="auto"/>
                  </w:divBdr>
                </w:div>
                <w:div w:id="1101292942">
                  <w:marLeft w:val="0"/>
                  <w:marRight w:val="0"/>
                  <w:marTop w:val="0"/>
                  <w:marBottom w:val="0"/>
                  <w:divBdr>
                    <w:top w:val="none" w:sz="0" w:space="0" w:color="auto"/>
                    <w:left w:val="none" w:sz="0" w:space="0" w:color="auto"/>
                    <w:bottom w:val="none" w:sz="0" w:space="0" w:color="auto"/>
                    <w:right w:val="none" w:sz="0" w:space="0" w:color="auto"/>
                  </w:divBdr>
                </w:div>
                <w:div w:id="1191190907">
                  <w:marLeft w:val="0"/>
                  <w:marRight w:val="0"/>
                  <w:marTop w:val="0"/>
                  <w:marBottom w:val="0"/>
                  <w:divBdr>
                    <w:top w:val="none" w:sz="0" w:space="0" w:color="auto"/>
                    <w:left w:val="none" w:sz="0" w:space="0" w:color="auto"/>
                    <w:bottom w:val="none" w:sz="0" w:space="0" w:color="auto"/>
                    <w:right w:val="none" w:sz="0" w:space="0" w:color="auto"/>
                  </w:divBdr>
                </w:div>
                <w:div w:id="1685083961">
                  <w:marLeft w:val="0"/>
                  <w:marRight w:val="0"/>
                  <w:marTop w:val="0"/>
                  <w:marBottom w:val="0"/>
                  <w:divBdr>
                    <w:top w:val="none" w:sz="0" w:space="0" w:color="auto"/>
                    <w:left w:val="none" w:sz="0" w:space="0" w:color="auto"/>
                    <w:bottom w:val="none" w:sz="0" w:space="0" w:color="auto"/>
                    <w:right w:val="none" w:sz="0" w:space="0" w:color="auto"/>
                  </w:divBdr>
                </w:div>
                <w:div w:id="1831747678">
                  <w:marLeft w:val="0"/>
                  <w:marRight w:val="0"/>
                  <w:marTop w:val="0"/>
                  <w:marBottom w:val="0"/>
                  <w:divBdr>
                    <w:top w:val="none" w:sz="0" w:space="0" w:color="auto"/>
                    <w:left w:val="none" w:sz="0" w:space="0" w:color="auto"/>
                    <w:bottom w:val="none" w:sz="0" w:space="0" w:color="auto"/>
                    <w:right w:val="none" w:sz="0" w:space="0" w:color="auto"/>
                  </w:divBdr>
                </w:div>
                <w:div w:id="1924797738">
                  <w:marLeft w:val="0"/>
                  <w:marRight w:val="0"/>
                  <w:marTop w:val="0"/>
                  <w:marBottom w:val="0"/>
                  <w:divBdr>
                    <w:top w:val="none" w:sz="0" w:space="0" w:color="auto"/>
                    <w:left w:val="none" w:sz="0" w:space="0" w:color="auto"/>
                    <w:bottom w:val="none" w:sz="0" w:space="0" w:color="auto"/>
                    <w:right w:val="none" w:sz="0" w:space="0" w:color="auto"/>
                  </w:divBdr>
                </w:div>
                <w:div w:id="2107845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054120">
      <w:bodyDiv w:val="1"/>
      <w:marLeft w:val="0"/>
      <w:marRight w:val="0"/>
      <w:marTop w:val="0"/>
      <w:marBottom w:val="0"/>
      <w:divBdr>
        <w:top w:val="none" w:sz="0" w:space="0" w:color="auto"/>
        <w:left w:val="none" w:sz="0" w:space="0" w:color="auto"/>
        <w:bottom w:val="none" w:sz="0" w:space="0" w:color="auto"/>
        <w:right w:val="none" w:sz="0" w:space="0" w:color="auto"/>
      </w:divBdr>
    </w:div>
    <w:div w:id="455415253">
      <w:bodyDiv w:val="1"/>
      <w:marLeft w:val="0"/>
      <w:marRight w:val="0"/>
      <w:marTop w:val="0"/>
      <w:marBottom w:val="0"/>
      <w:divBdr>
        <w:top w:val="none" w:sz="0" w:space="0" w:color="auto"/>
        <w:left w:val="none" w:sz="0" w:space="0" w:color="auto"/>
        <w:bottom w:val="none" w:sz="0" w:space="0" w:color="auto"/>
        <w:right w:val="none" w:sz="0" w:space="0" w:color="auto"/>
      </w:divBdr>
    </w:div>
    <w:div w:id="460537506">
      <w:bodyDiv w:val="1"/>
      <w:marLeft w:val="0"/>
      <w:marRight w:val="0"/>
      <w:marTop w:val="0"/>
      <w:marBottom w:val="0"/>
      <w:divBdr>
        <w:top w:val="none" w:sz="0" w:space="0" w:color="auto"/>
        <w:left w:val="none" w:sz="0" w:space="0" w:color="auto"/>
        <w:bottom w:val="none" w:sz="0" w:space="0" w:color="auto"/>
        <w:right w:val="none" w:sz="0" w:space="0" w:color="auto"/>
      </w:divBdr>
    </w:div>
    <w:div w:id="466509001">
      <w:bodyDiv w:val="1"/>
      <w:marLeft w:val="0"/>
      <w:marRight w:val="0"/>
      <w:marTop w:val="0"/>
      <w:marBottom w:val="0"/>
      <w:divBdr>
        <w:top w:val="none" w:sz="0" w:space="0" w:color="auto"/>
        <w:left w:val="none" w:sz="0" w:space="0" w:color="auto"/>
        <w:bottom w:val="none" w:sz="0" w:space="0" w:color="auto"/>
        <w:right w:val="none" w:sz="0" w:space="0" w:color="auto"/>
      </w:divBdr>
    </w:div>
    <w:div w:id="530336395">
      <w:bodyDiv w:val="1"/>
      <w:marLeft w:val="0"/>
      <w:marRight w:val="0"/>
      <w:marTop w:val="0"/>
      <w:marBottom w:val="0"/>
      <w:divBdr>
        <w:top w:val="none" w:sz="0" w:space="0" w:color="auto"/>
        <w:left w:val="none" w:sz="0" w:space="0" w:color="auto"/>
        <w:bottom w:val="none" w:sz="0" w:space="0" w:color="auto"/>
        <w:right w:val="none" w:sz="0" w:space="0" w:color="auto"/>
      </w:divBdr>
    </w:div>
    <w:div w:id="534385459">
      <w:bodyDiv w:val="1"/>
      <w:marLeft w:val="0"/>
      <w:marRight w:val="0"/>
      <w:marTop w:val="0"/>
      <w:marBottom w:val="0"/>
      <w:divBdr>
        <w:top w:val="none" w:sz="0" w:space="0" w:color="auto"/>
        <w:left w:val="none" w:sz="0" w:space="0" w:color="auto"/>
        <w:bottom w:val="none" w:sz="0" w:space="0" w:color="auto"/>
        <w:right w:val="none" w:sz="0" w:space="0" w:color="auto"/>
      </w:divBdr>
    </w:div>
    <w:div w:id="550312151">
      <w:bodyDiv w:val="1"/>
      <w:marLeft w:val="0"/>
      <w:marRight w:val="0"/>
      <w:marTop w:val="0"/>
      <w:marBottom w:val="0"/>
      <w:divBdr>
        <w:top w:val="none" w:sz="0" w:space="0" w:color="auto"/>
        <w:left w:val="none" w:sz="0" w:space="0" w:color="auto"/>
        <w:bottom w:val="none" w:sz="0" w:space="0" w:color="auto"/>
        <w:right w:val="none" w:sz="0" w:space="0" w:color="auto"/>
      </w:divBdr>
    </w:div>
    <w:div w:id="581989433">
      <w:bodyDiv w:val="1"/>
      <w:marLeft w:val="0"/>
      <w:marRight w:val="0"/>
      <w:marTop w:val="0"/>
      <w:marBottom w:val="0"/>
      <w:divBdr>
        <w:top w:val="none" w:sz="0" w:space="0" w:color="auto"/>
        <w:left w:val="none" w:sz="0" w:space="0" w:color="auto"/>
        <w:bottom w:val="none" w:sz="0" w:space="0" w:color="auto"/>
        <w:right w:val="none" w:sz="0" w:space="0" w:color="auto"/>
      </w:divBdr>
    </w:div>
    <w:div w:id="583417267">
      <w:bodyDiv w:val="1"/>
      <w:marLeft w:val="0"/>
      <w:marRight w:val="0"/>
      <w:marTop w:val="0"/>
      <w:marBottom w:val="0"/>
      <w:divBdr>
        <w:top w:val="none" w:sz="0" w:space="0" w:color="auto"/>
        <w:left w:val="none" w:sz="0" w:space="0" w:color="auto"/>
        <w:bottom w:val="none" w:sz="0" w:space="0" w:color="auto"/>
        <w:right w:val="none" w:sz="0" w:space="0" w:color="auto"/>
      </w:divBdr>
    </w:div>
    <w:div w:id="584341897">
      <w:bodyDiv w:val="1"/>
      <w:marLeft w:val="0"/>
      <w:marRight w:val="0"/>
      <w:marTop w:val="0"/>
      <w:marBottom w:val="0"/>
      <w:divBdr>
        <w:top w:val="none" w:sz="0" w:space="0" w:color="auto"/>
        <w:left w:val="none" w:sz="0" w:space="0" w:color="auto"/>
        <w:bottom w:val="none" w:sz="0" w:space="0" w:color="auto"/>
        <w:right w:val="none" w:sz="0" w:space="0" w:color="auto"/>
      </w:divBdr>
    </w:div>
    <w:div w:id="593633837">
      <w:bodyDiv w:val="1"/>
      <w:marLeft w:val="0"/>
      <w:marRight w:val="0"/>
      <w:marTop w:val="0"/>
      <w:marBottom w:val="0"/>
      <w:divBdr>
        <w:top w:val="none" w:sz="0" w:space="0" w:color="auto"/>
        <w:left w:val="none" w:sz="0" w:space="0" w:color="auto"/>
        <w:bottom w:val="none" w:sz="0" w:space="0" w:color="auto"/>
        <w:right w:val="none" w:sz="0" w:space="0" w:color="auto"/>
      </w:divBdr>
    </w:div>
    <w:div w:id="621617471">
      <w:bodyDiv w:val="1"/>
      <w:marLeft w:val="0"/>
      <w:marRight w:val="0"/>
      <w:marTop w:val="0"/>
      <w:marBottom w:val="0"/>
      <w:divBdr>
        <w:top w:val="none" w:sz="0" w:space="0" w:color="auto"/>
        <w:left w:val="none" w:sz="0" w:space="0" w:color="auto"/>
        <w:bottom w:val="none" w:sz="0" w:space="0" w:color="auto"/>
        <w:right w:val="none" w:sz="0" w:space="0" w:color="auto"/>
      </w:divBdr>
    </w:div>
    <w:div w:id="622998599">
      <w:bodyDiv w:val="1"/>
      <w:marLeft w:val="0"/>
      <w:marRight w:val="0"/>
      <w:marTop w:val="0"/>
      <w:marBottom w:val="0"/>
      <w:divBdr>
        <w:top w:val="none" w:sz="0" w:space="0" w:color="auto"/>
        <w:left w:val="none" w:sz="0" w:space="0" w:color="auto"/>
        <w:bottom w:val="none" w:sz="0" w:space="0" w:color="auto"/>
        <w:right w:val="none" w:sz="0" w:space="0" w:color="auto"/>
      </w:divBdr>
      <w:divsChild>
        <w:div w:id="2109347515">
          <w:marLeft w:val="0"/>
          <w:marRight w:val="0"/>
          <w:marTop w:val="0"/>
          <w:marBottom w:val="0"/>
          <w:divBdr>
            <w:top w:val="none" w:sz="0" w:space="0" w:color="auto"/>
            <w:left w:val="none" w:sz="0" w:space="0" w:color="auto"/>
            <w:bottom w:val="none" w:sz="0" w:space="0" w:color="auto"/>
            <w:right w:val="none" w:sz="0" w:space="0" w:color="auto"/>
          </w:divBdr>
          <w:divsChild>
            <w:div w:id="827667626">
              <w:marLeft w:val="0"/>
              <w:marRight w:val="0"/>
              <w:marTop w:val="0"/>
              <w:marBottom w:val="336"/>
              <w:divBdr>
                <w:top w:val="none" w:sz="0" w:space="0" w:color="auto"/>
                <w:left w:val="none" w:sz="0" w:space="0" w:color="auto"/>
                <w:bottom w:val="none" w:sz="0" w:space="0" w:color="auto"/>
                <w:right w:val="none" w:sz="0" w:space="0" w:color="auto"/>
              </w:divBdr>
              <w:divsChild>
                <w:div w:id="1256745549">
                  <w:marLeft w:val="0"/>
                  <w:marRight w:val="0"/>
                  <w:marTop w:val="0"/>
                  <w:marBottom w:val="0"/>
                  <w:divBdr>
                    <w:top w:val="none" w:sz="0" w:space="0" w:color="auto"/>
                    <w:left w:val="none" w:sz="0" w:space="0" w:color="auto"/>
                    <w:bottom w:val="none" w:sz="0" w:space="0" w:color="auto"/>
                    <w:right w:val="none" w:sz="0" w:space="0" w:color="auto"/>
                  </w:divBdr>
                  <w:divsChild>
                    <w:div w:id="187842563">
                      <w:marLeft w:val="0"/>
                      <w:marRight w:val="0"/>
                      <w:marTop w:val="0"/>
                      <w:marBottom w:val="0"/>
                      <w:divBdr>
                        <w:top w:val="none" w:sz="0" w:space="0" w:color="auto"/>
                        <w:left w:val="none" w:sz="0" w:space="0" w:color="auto"/>
                        <w:bottom w:val="none" w:sz="0" w:space="0" w:color="auto"/>
                        <w:right w:val="none" w:sz="0" w:space="0" w:color="auto"/>
                      </w:divBdr>
                      <w:divsChild>
                        <w:div w:id="1639845916">
                          <w:marLeft w:val="0"/>
                          <w:marRight w:val="0"/>
                          <w:marTop w:val="0"/>
                          <w:marBottom w:val="0"/>
                          <w:divBdr>
                            <w:top w:val="none" w:sz="0" w:space="0" w:color="auto"/>
                            <w:left w:val="none" w:sz="0" w:space="0" w:color="auto"/>
                            <w:bottom w:val="none" w:sz="0" w:space="0" w:color="auto"/>
                            <w:right w:val="none" w:sz="0" w:space="0" w:color="auto"/>
                          </w:divBdr>
                        </w:div>
                      </w:divsChild>
                    </w:div>
                    <w:div w:id="373848829">
                      <w:marLeft w:val="0"/>
                      <w:marRight w:val="0"/>
                      <w:marTop w:val="0"/>
                      <w:marBottom w:val="0"/>
                      <w:divBdr>
                        <w:top w:val="none" w:sz="0" w:space="0" w:color="auto"/>
                        <w:left w:val="none" w:sz="0" w:space="0" w:color="auto"/>
                        <w:bottom w:val="none" w:sz="0" w:space="0" w:color="auto"/>
                        <w:right w:val="none" w:sz="0" w:space="0" w:color="auto"/>
                      </w:divBdr>
                      <w:divsChild>
                        <w:div w:id="1644889275">
                          <w:marLeft w:val="0"/>
                          <w:marRight w:val="0"/>
                          <w:marTop w:val="0"/>
                          <w:marBottom w:val="0"/>
                          <w:divBdr>
                            <w:top w:val="none" w:sz="0" w:space="0" w:color="auto"/>
                            <w:left w:val="none" w:sz="0" w:space="0" w:color="auto"/>
                            <w:bottom w:val="none" w:sz="0" w:space="0" w:color="auto"/>
                            <w:right w:val="none" w:sz="0" w:space="0" w:color="auto"/>
                          </w:divBdr>
                        </w:div>
                        <w:div w:id="2022391429">
                          <w:marLeft w:val="0"/>
                          <w:marRight w:val="0"/>
                          <w:marTop w:val="0"/>
                          <w:marBottom w:val="240"/>
                          <w:divBdr>
                            <w:top w:val="none" w:sz="0" w:space="0" w:color="auto"/>
                            <w:left w:val="none" w:sz="0" w:space="0" w:color="auto"/>
                            <w:bottom w:val="none" w:sz="0" w:space="0" w:color="auto"/>
                            <w:right w:val="none" w:sz="0" w:space="0" w:color="auto"/>
                          </w:divBdr>
                          <w:divsChild>
                            <w:div w:id="371341736">
                              <w:marLeft w:val="0"/>
                              <w:marRight w:val="0"/>
                              <w:marTop w:val="0"/>
                              <w:marBottom w:val="336"/>
                              <w:divBdr>
                                <w:top w:val="none" w:sz="0" w:space="0" w:color="auto"/>
                                <w:left w:val="none" w:sz="0" w:space="0" w:color="auto"/>
                                <w:bottom w:val="none" w:sz="0" w:space="0" w:color="auto"/>
                                <w:right w:val="none" w:sz="0" w:space="0" w:color="auto"/>
                              </w:divBdr>
                            </w:div>
                            <w:div w:id="1005132324">
                              <w:marLeft w:val="0"/>
                              <w:marRight w:val="0"/>
                              <w:marTop w:val="336"/>
                              <w:marBottom w:val="0"/>
                              <w:divBdr>
                                <w:top w:val="none" w:sz="0" w:space="0" w:color="auto"/>
                                <w:left w:val="none" w:sz="0" w:space="0" w:color="auto"/>
                                <w:bottom w:val="none" w:sz="0" w:space="0" w:color="auto"/>
                                <w:right w:val="none" w:sz="0" w:space="0" w:color="auto"/>
                              </w:divBdr>
                              <w:divsChild>
                                <w:div w:id="62920167">
                                  <w:marLeft w:val="0"/>
                                  <w:marRight w:val="0"/>
                                  <w:marTop w:val="0"/>
                                  <w:marBottom w:val="0"/>
                                  <w:divBdr>
                                    <w:top w:val="none" w:sz="0" w:space="0" w:color="auto"/>
                                    <w:left w:val="none" w:sz="0" w:space="0" w:color="auto"/>
                                    <w:bottom w:val="none" w:sz="0" w:space="0" w:color="auto"/>
                                    <w:right w:val="none" w:sz="0" w:space="0" w:color="auto"/>
                                  </w:divBdr>
                                </w:div>
                                <w:div w:id="976565049">
                                  <w:marLeft w:val="0"/>
                                  <w:marRight w:val="0"/>
                                  <w:marTop w:val="0"/>
                                  <w:marBottom w:val="0"/>
                                  <w:divBdr>
                                    <w:top w:val="none" w:sz="0" w:space="0" w:color="auto"/>
                                    <w:left w:val="none" w:sz="0" w:space="0" w:color="auto"/>
                                    <w:bottom w:val="none" w:sz="0" w:space="0" w:color="auto"/>
                                    <w:right w:val="none" w:sz="0" w:space="0" w:color="auto"/>
                                  </w:divBdr>
                                  <w:divsChild>
                                    <w:div w:id="157990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8799795">
      <w:bodyDiv w:val="1"/>
      <w:marLeft w:val="0"/>
      <w:marRight w:val="0"/>
      <w:marTop w:val="0"/>
      <w:marBottom w:val="0"/>
      <w:divBdr>
        <w:top w:val="none" w:sz="0" w:space="0" w:color="auto"/>
        <w:left w:val="none" w:sz="0" w:space="0" w:color="auto"/>
        <w:bottom w:val="none" w:sz="0" w:space="0" w:color="auto"/>
        <w:right w:val="none" w:sz="0" w:space="0" w:color="auto"/>
      </w:divBdr>
    </w:div>
    <w:div w:id="676157938">
      <w:bodyDiv w:val="1"/>
      <w:marLeft w:val="0"/>
      <w:marRight w:val="0"/>
      <w:marTop w:val="0"/>
      <w:marBottom w:val="0"/>
      <w:divBdr>
        <w:top w:val="none" w:sz="0" w:space="0" w:color="auto"/>
        <w:left w:val="none" w:sz="0" w:space="0" w:color="auto"/>
        <w:bottom w:val="none" w:sz="0" w:space="0" w:color="auto"/>
        <w:right w:val="none" w:sz="0" w:space="0" w:color="auto"/>
      </w:divBdr>
    </w:div>
    <w:div w:id="714432468">
      <w:bodyDiv w:val="1"/>
      <w:marLeft w:val="0"/>
      <w:marRight w:val="0"/>
      <w:marTop w:val="0"/>
      <w:marBottom w:val="0"/>
      <w:divBdr>
        <w:top w:val="none" w:sz="0" w:space="0" w:color="auto"/>
        <w:left w:val="none" w:sz="0" w:space="0" w:color="auto"/>
        <w:bottom w:val="none" w:sz="0" w:space="0" w:color="auto"/>
        <w:right w:val="none" w:sz="0" w:space="0" w:color="auto"/>
      </w:divBdr>
    </w:div>
    <w:div w:id="720598431">
      <w:bodyDiv w:val="1"/>
      <w:marLeft w:val="0"/>
      <w:marRight w:val="0"/>
      <w:marTop w:val="0"/>
      <w:marBottom w:val="0"/>
      <w:divBdr>
        <w:top w:val="none" w:sz="0" w:space="0" w:color="auto"/>
        <w:left w:val="none" w:sz="0" w:space="0" w:color="auto"/>
        <w:bottom w:val="none" w:sz="0" w:space="0" w:color="auto"/>
        <w:right w:val="none" w:sz="0" w:space="0" w:color="auto"/>
      </w:divBdr>
    </w:div>
    <w:div w:id="722756031">
      <w:bodyDiv w:val="1"/>
      <w:marLeft w:val="0"/>
      <w:marRight w:val="0"/>
      <w:marTop w:val="0"/>
      <w:marBottom w:val="0"/>
      <w:divBdr>
        <w:top w:val="none" w:sz="0" w:space="0" w:color="auto"/>
        <w:left w:val="none" w:sz="0" w:space="0" w:color="auto"/>
        <w:bottom w:val="none" w:sz="0" w:space="0" w:color="auto"/>
        <w:right w:val="none" w:sz="0" w:space="0" w:color="auto"/>
      </w:divBdr>
    </w:div>
    <w:div w:id="762724938">
      <w:bodyDiv w:val="1"/>
      <w:marLeft w:val="0"/>
      <w:marRight w:val="0"/>
      <w:marTop w:val="0"/>
      <w:marBottom w:val="0"/>
      <w:divBdr>
        <w:top w:val="none" w:sz="0" w:space="0" w:color="auto"/>
        <w:left w:val="none" w:sz="0" w:space="0" w:color="auto"/>
        <w:bottom w:val="none" w:sz="0" w:space="0" w:color="auto"/>
        <w:right w:val="none" w:sz="0" w:space="0" w:color="auto"/>
      </w:divBdr>
    </w:div>
    <w:div w:id="771165429">
      <w:bodyDiv w:val="1"/>
      <w:marLeft w:val="0"/>
      <w:marRight w:val="0"/>
      <w:marTop w:val="0"/>
      <w:marBottom w:val="0"/>
      <w:divBdr>
        <w:top w:val="none" w:sz="0" w:space="0" w:color="auto"/>
        <w:left w:val="none" w:sz="0" w:space="0" w:color="auto"/>
        <w:bottom w:val="none" w:sz="0" w:space="0" w:color="auto"/>
        <w:right w:val="none" w:sz="0" w:space="0" w:color="auto"/>
      </w:divBdr>
    </w:div>
    <w:div w:id="772092381">
      <w:bodyDiv w:val="1"/>
      <w:marLeft w:val="0"/>
      <w:marRight w:val="0"/>
      <w:marTop w:val="0"/>
      <w:marBottom w:val="0"/>
      <w:divBdr>
        <w:top w:val="none" w:sz="0" w:space="0" w:color="auto"/>
        <w:left w:val="none" w:sz="0" w:space="0" w:color="auto"/>
        <w:bottom w:val="none" w:sz="0" w:space="0" w:color="auto"/>
        <w:right w:val="none" w:sz="0" w:space="0" w:color="auto"/>
      </w:divBdr>
    </w:div>
    <w:div w:id="774449470">
      <w:bodyDiv w:val="1"/>
      <w:marLeft w:val="0"/>
      <w:marRight w:val="0"/>
      <w:marTop w:val="0"/>
      <w:marBottom w:val="0"/>
      <w:divBdr>
        <w:top w:val="none" w:sz="0" w:space="0" w:color="auto"/>
        <w:left w:val="none" w:sz="0" w:space="0" w:color="auto"/>
        <w:bottom w:val="none" w:sz="0" w:space="0" w:color="auto"/>
        <w:right w:val="none" w:sz="0" w:space="0" w:color="auto"/>
      </w:divBdr>
    </w:div>
    <w:div w:id="776293493">
      <w:bodyDiv w:val="1"/>
      <w:marLeft w:val="0"/>
      <w:marRight w:val="0"/>
      <w:marTop w:val="0"/>
      <w:marBottom w:val="0"/>
      <w:divBdr>
        <w:top w:val="none" w:sz="0" w:space="0" w:color="auto"/>
        <w:left w:val="none" w:sz="0" w:space="0" w:color="auto"/>
        <w:bottom w:val="none" w:sz="0" w:space="0" w:color="auto"/>
        <w:right w:val="none" w:sz="0" w:space="0" w:color="auto"/>
      </w:divBdr>
    </w:div>
    <w:div w:id="788351512">
      <w:bodyDiv w:val="1"/>
      <w:marLeft w:val="0"/>
      <w:marRight w:val="0"/>
      <w:marTop w:val="0"/>
      <w:marBottom w:val="0"/>
      <w:divBdr>
        <w:top w:val="none" w:sz="0" w:space="0" w:color="auto"/>
        <w:left w:val="none" w:sz="0" w:space="0" w:color="auto"/>
        <w:bottom w:val="none" w:sz="0" w:space="0" w:color="auto"/>
        <w:right w:val="none" w:sz="0" w:space="0" w:color="auto"/>
      </w:divBdr>
    </w:div>
    <w:div w:id="789320568">
      <w:bodyDiv w:val="1"/>
      <w:marLeft w:val="0"/>
      <w:marRight w:val="0"/>
      <w:marTop w:val="0"/>
      <w:marBottom w:val="0"/>
      <w:divBdr>
        <w:top w:val="none" w:sz="0" w:space="0" w:color="auto"/>
        <w:left w:val="none" w:sz="0" w:space="0" w:color="auto"/>
        <w:bottom w:val="none" w:sz="0" w:space="0" w:color="auto"/>
        <w:right w:val="none" w:sz="0" w:space="0" w:color="auto"/>
      </w:divBdr>
    </w:div>
    <w:div w:id="790131788">
      <w:bodyDiv w:val="1"/>
      <w:marLeft w:val="0"/>
      <w:marRight w:val="0"/>
      <w:marTop w:val="0"/>
      <w:marBottom w:val="0"/>
      <w:divBdr>
        <w:top w:val="none" w:sz="0" w:space="0" w:color="auto"/>
        <w:left w:val="none" w:sz="0" w:space="0" w:color="auto"/>
        <w:bottom w:val="none" w:sz="0" w:space="0" w:color="auto"/>
        <w:right w:val="none" w:sz="0" w:space="0" w:color="auto"/>
      </w:divBdr>
    </w:div>
    <w:div w:id="797800382">
      <w:bodyDiv w:val="1"/>
      <w:marLeft w:val="0"/>
      <w:marRight w:val="0"/>
      <w:marTop w:val="0"/>
      <w:marBottom w:val="0"/>
      <w:divBdr>
        <w:top w:val="none" w:sz="0" w:space="0" w:color="auto"/>
        <w:left w:val="none" w:sz="0" w:space="0" w:color="auto"/>
        <w:bottom w:val="none" w:sz="0" w:space="0" w:color="auto"/>
        <w:right w:val="none" w:sz="0" w:space="0" w:color="auto"/>
      </w:divBdr>
    </w:div>
    <w:div w:id="797912407">
      <w:bodyDiv w:val="1"/>
      <w:marLeft w:val="0"/>
      <w:marRight w:val="0"/>
      <w:marTop w:val="0"/>
      <w:marBottom w:val="0"/>
      <w:divBdr>
        <w:top w:val="none" w:sz="0" w:space="0" w:color="auto"/>
        <w:left w:val="none" w:sz="0" w:space="0" w:color="auto"/>
        <w:bottom w:val="none" w:sz="0" w:space="0" w:color="auto"/>
        <w:right w:val="none" w:sz="0" w:space="0" w:color="auto"/>
      </w:divBdr>
    </w:div>
    <w:div w:id="819887496">
      <w:bodyDiv w:val="1"/>
      <w:marLeft w:val="0"/>
      <w:marRight w:val="0"/>
      <w:marTop w:val="0"/>
      <w:marBottom w:val="0"/>
      <w:divBdr>
        <w:top w:val="none" w:sz="0" w:space="0" w:color="auto"/>
        <w:left w:val="none" w:sz="0" w:space="0" w:color="auto"/>
        <w:bottom w:val="none" w:sz="0" w:space="0" w:color="auto"/>
        <w:right w:val="none" w:sz="0" w:space="0" w:color="auto"/>
      </w:divBdr>
    </w:div>
    <w:div w:id="820148483">
      <w:bodyDiv w:val="1"/>
      <w:marLeft w:val="0"/>
      <w:marRight w:val="0"/>
      <w:marTop w:val="0"/>
      <w:marBottom w:val="0"/>
      <w:divBdr>
        <w:top w:val="none" w:sz="0" w:space="0" w:color="auto"/>
        <w:left w:val="none" w:sz="0" w:space="0" w:color="auto"/>
        <w:bottom w:val="none" w:sz="0" w:space="0" w:color="auto"/>
        <w:right w:val="none" w:sz="0" w:space="0" w:color="auto"/>
      </w:divBdr>
    </w:div>
    <w:div w:id="820149378">
      <w:bodyDiv w:val="1"/>
      <w:marLeft w:val="0"/>
      <w:marRight w:val="0"/>
      <w:marTop w:val="0"/>
      <w:marBottom w:val="0"/>
      <w:divBdr>
        <w:top w:val="none" w:sz="0" w:space="0" w:color="auto"/>
        <w:left w:val="none" w:sz="0" w:space="0" w:color="auto"/>
        <w:bottom w:val="none" w:sz="0" w:space="0" w:color="auto"/>
        <w:right w:val="none" w:sz="0" w:space="0" w:color="auto"/>
      </w:divBdr>
    </w:div>
    <w:div w:id="821847655">
      <w:bodyDiv w:val="1"/>
      <w:marLeft w:val="0"/>
      <w:marRight w:val="0"/>
      <w:marTop w:val="0"/>
      <w:marBottom w:val="0"/>
      <w:divBdr>
        <w:top w:val="none" w:sz="0" w:space="0" w:color="auto"/>
        <w:left w:val="none" w:sz="0" w:space="0" w:color="auto"/>
        <w:bottom w:val="none" w:sz="0" w:space="0" w:color="auto"/>
        <w:right w:val="none" w:sz="0" w:space="0" w:color="auto"/>
      </w:divBdr>
    </w:div>
    <w:div w:id="827866160">
      <w:bodyDiv w:val="1"/>
      <w:marLeft w:val="0"/>
      <w:marRight w:val="0"/>
      <w:marTop w:val="0"/>
      <w:marBottom w:val="0"/>
      <w:divBdr>
        <w:top w:val="none" w:sz="0" w:space="0" w:color="auto"/>
        <w:left w:val="none" w:sz="0" w:space="0" w:color="auto"/>
        <w:bottom w:val="none" w:sz="0" w:space="0" w:color="auto"/>
        <w:right w:val="none" w:sz="0" w:space="0" w:color="auto"/>
      </w:divBdr>
    </w:div>
    <w:div w:id="843666127">
      <w:bodyDiv w:val="1"/>
      <w:marLeft w:val="0"/>
      <w:marRight w:val="0"/>
      <w:marTop w:val="0"/>
      <w:marBottom w:val="0"/>
      <w:divBdr>
        <w:top w:val="none" w:sz="0" w:space="0" w:color="auto"/>
        <w:left w:val="none" w:sz="0" w:space="0" w:color="auto"/>
        <w:bottom w:val="none" w:sz="0" w:space="0" w:color="auto"/>
        <w:right w:val="none" w:sz="0" w:space="0" w:color="auto"/>
      </w:divBdr>
    </w:div>
    <w:div w:id="860096032">
      <w:bodyDiv w:val="1"/>
      <w:marLeft w:val="0"/>
      <w:marRight w:val="0"/>
      <w:marTop w:val="0"/>
      <w:marBottom w:val="0"/>
      <w:divBdr>
        <w:top w:val="none" w:sz="0" w:space="0" w:color="auto"/>
        <w:left w:val="none" w:sz="0" w:space="0" w:color="auto"/>
        <w:bottom w:val="none" w:sz="0" w:space="0" w:color="auto"/>
        <w:right w:val="none" w:sz="0" w:space="0" w:color="auto"/>
      </w:divBdr>
    </w:div>
    <w:div w:id="892547148">
      <w:bodyDiv w:val="1"/>
      <w:marLeft w:val="0"/>
      <w:marRight w:val="0"/>
      <w:marTop w:val="0"/>
      <w:marBottom w:val="0"/>
      <w:divBdr>
        <w:top w:val="none" w:sz="0" w:space="0" w:color="auto"/>
        <w:left w:val="none" w:sz="0" w:space="0" w:color="auto"/>
        <w:bottom w:val="none" w:sz="0" w:space="0" w:color="auto"/>
        <w:right w:val="none" w:sz="0" w:space="0" w:color="auto"/>
      </w:divBdr>
    </w:div>
    <w:div w:id="946497212">
      <w:bodyDiv w:val="1"/>
      <w:marLeft w:val="0"/>
      <w:marRight w:val="0"/>
      <w:marTop w:val="0"/>
      <w:marBottom w:val="0"/>
      <w:divBdr>
        <w:top w:val="none" w:sz="0" w:space="0" w:color="auto"/>
        <w:left w:val="none" w:sz="0" w:space="0" w:color="auto"/>
        <w:bottom w:val="none" w:sz="0" w:space="0" w:color="auto"/>
        <w:right w:val="none" w:sz="0" w:space="0" w:color="auto"/>
      </w:divBdr>
    </w:div>
    <w:div w:id="957680378">
      <w:bodyDiv w:val="1"/>
      <w:marLeft w:val="0"/>
      <w:marRight w:val="0"/>
      <w:marTop w:val="0"/>
      <w:marBottom w:val="0"/>
      <w:divBdr>
        <w:top w:val="none" w:sz="0" w:space="0" w:color="auto"/>
        <w:left w:val="none" w:sz="0" w:space="0" w:color="auto"/>
        <w:bottom w:val="none" w:sz="0" w:space="0" w:color="auto"/>
        <w:right w:val="none" w:sz="0" w:space="0" w:color="auto"/>
      </w:divBdr>
    </w:div>
    <w:div w:id="961770332">
      <w:bodyDiv w:val="1"/>
      <w:marLeft w:val="0"/>
      <w:marRight w:val="0"/>
      <w:marTop w:val="0"/>
      <w:marBottom w:val="0"/>
      <w:divBdr>
        <w:top w:val="none" w:sz="0" w:space="0" w:color="auto"/>
        <w:left w:val="none" w:sz="0" w:space="0" w:color="auto"/>
        <w:bottom w:val="none" w:sz="0" w:space="0" w:color="auto"/>
        <w:right w:val="none" w:sz="0" w:space="0" w:color="auto"/>
      </w:divBdr>
      <w:divsChild>
        <w:div w:id="785391086">
          <w:marLeft w:val="0"/>
          <w:marRight w:val="0"/>
          <w:marTop w:val="0"/>
          <w:marBottom w:val="0"/>
          <w:divBdr>
            <w:top w:val="none" w:sz="0" w:space="0" w:color="auto"/>
            <w:left w:val="none" w:sz="0" w:space="0" w:color="auto"/>
            <w:bottom w:val="none" w:sz="0" w:space="0" w:color="auto"/>
            <w:right w:val="none" w:sz="0" w:space="0" w:color="auto"/>
          </w:divBdr>
          <w:divsChild>
            <w:div w:id="1285768081">
              <w:marLeft w:val="0"/>
              <w:marRight w:val="0"/>
              <w:marTop w:val="0"/>
              <w:marBottom w:val="0"/>
              <w:divBdr>
                <w:top w:val="none" w:sz="0" w:space="0" w:color="auto"/>
                <w:left w:val="none" w:sz="0" w:space="0" w:color="auto"/>
                <w:bottom w:val="none" w:sz="0" w:space="0" w:color="auto"/>
                <w:right w:val="none" w:sz="0" w:space="0" w:color="auto"/>
              </w:divBdr>
              <w:divsChild>
                <w:div w:id="3290539">
                  <w:marLeft w:val="0"/>
                  <w:marRight w:val="0"/>
                  <w:marTop w:val="0"/>
                  <w:marBottom w:val="0"/>
                  <w:divBdr>
                    <w:top w:val="none" w:sz="0" w:space="0" w:color="auto"/>
                    <w:left w:val="none" w:sz="0" w:space="0" w:color="auto"/>
                    <w:bottom w:val="none" w:sz="0" w:space="0" w:color="auto"/>
                    <w:right w:val="none" w:sz="0" w:space="0" w:color="auto"/>
                  </w:divBdr>
                </w:div>
                <w:div w:id="1711764705">
                  <w:marLeft w:val="0"/>
                  <w:marRight w:val="0"/>
                  <w:marTop w:val="0"/>
                  <w:marBottom w:val="0"/>
                  <w:divBdr>
                    <w:top w:val="none" w:sz="0" w:space="0" w:color="auto"/>
                    <w:left w:val="none" w:sz="0" w:space="0" w:color="auto"/>
                    <w:bottom w:val="none" w:sz="0" w:space="0" w:color="auto"/>
                    <w:right w:val="none" w:sz="0" w:space="0" w:color="auto"/>
                  </w:divBdr>
                </w:div>
                <w:div w:id="209030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697488">
      <w:bodyDiv w:val="1"/>
      <w:marLeft w:val="0"/>
      <w:marRight w:val="0"/>
      <w:marTop w:val="0"/>
      <w:marBottom w:val="0"/>
      <w:divBdr>
        <w:top w:val="none" w:sz="0" w:space="0" w:color="auto"/>
        <w:left w:val="none" w:sz="0" w:space="0" w:color="auto"/>
        <w:bottom w:val="none" w:sz="0" w:space="0" w:color="auto"/>
        <w:right w:val="none" w:sz="0" w:space="0" w:color="auto"/>
      </w:divBdr>
    </w:div>
    <w:div w:id="965700799">
      <w:bodyDiv w:val="1"/>
      <w:marLeft w:val="0"/>
      <w:marRight w:val="0"/>
      <w:marTop w:val="0"/>
      <w:marBottom w:val="0"/>
      <w:divBdr>
        <w:top w:val="none" w:sz="0" w:space="0" w:color="auto"/>
        <w:left w:val="none" w:sz="0" w:space="0" w:color="auto"/>
        <w:bottom w:val="none" w:sz="0" w:space="0" w:color="auto"/>
        <w:right w:val="none" w:sz="0" w:space="0" w:color="auto"/>
      </w:divBdr>
    </w:div>
    <w:div w:id="966618010">
      <w:bodyDiv w:val="1"/>
      <w:marLeft w:val="0"/>
      <w:marRight w:val="0"/>
      <w:marTop w:val="0"/>
      <w:marBottom w:val="0"/>
      <w:divBdr>
        <w:top w:val="none" w:sz="0" w:space="0" w:color="auto"/>
        <w:left w:val="none" w:sz="0" w:space="0" w:color="auto"/>
        <w:bottom w:val="none" w:sz="0" w:space="0" w:color="auto"/>
        <w:right w:val="none" w:sz="0" w:space="0" w:color="auto"/>
      </w:divBdr>
      <w:divsChild>
        <w:div w:id="1581136745">
          <w:marLeft w:val="0"/>
          <w:marRight w:val="0"/>
          <w:marTop w:val="0"/>
          <w:marBottom w:val="0"/>
          <w:divBdr>
            <w:top w:val="none" w:sz="0" w:space="0" w:color="auto"/>
            <w:left w:val="none" w:sz="0" w:space="0" w:color="auto"/>
            <w:bottom w:val="none" w:sz="0" w:space="0" w:color="auto"/>
            <w:right w:val="none" w:sz="0" w:space="0" w:color="auto"/>
          </w:divBdr>
          <w:divsChild>
            <w:div w:id="1296372126">
              <w:marLeft w:val="0"/>
              <w:marRight w:val="0"/>
              <w:marTop w:val="0"/>
              <w:marBottom w:val="0"/>
              <w:divBdr>
                <w:top w:val="none" w:sz="0" w:space="0" w:color="auto"/>
                <w:left w:val="none" w:sz="0" w:space="0" w:color="auto"/>
                <w:bottom w:val="none" w:sz="0" w:space="0" w:color="auto"/>
                <w:right w:val="none" w:sz="0" w:space="0" w:color="auto"/>
              </w:divBdr>
              <w:divsChild>
                <w:div w:id="306017144">
                  <w:marLeft w:val="0"/>
                  <w:marRight w:val="0"/>
                  <w:marTop w:val="0"/>
                  <w:marBottom w:val="0"/>
                  <w:divBdr>
                    <w:top w:val="none" w:sz="0" w:space="0" w:color="auto"/>
                    <w:left w:val="none" w:sz="0" w:space="0" w:color="auto"/>
                    <w:bottom w:val="none" w:sz="0" w:space="0" w:color="auto"/>
                    <w:right w:val="none" w:sz="0" w:space="0" w:color="auto"/>
                  </w:divBdr>
                </w:div>
                <w:div w:id="1640644920">
                  <w:marLeft w:val="0"/>
                  <w:marRight w:val="0"/>
                  <w:marTop w:val="0"/>
                  <w:marBottom w:val="0"/>
                  <w:divBdr>
                    <w:top w:val="none" w:sz="0" w:space="0" w:color="auto"/>
                    <w:left w:val="none" w:sz="0" w:space="0" w:color="auto"/>
                    <w:bottom w:val="none" w:sz="0" w:space="0" w:color="auto"/>
                    <w:right w:val="none" w:sz="0" w:space="0" w:color="auto"/>
                  </w:divBdr>
                </w:div>
                <w:div w:id="1763792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3552">
      <w:bodyDiv w:val="1"/>
      <w:marLeft w:val="0"/>
      <w:marRight w:val="0"/>
      <w:marTop w:val="0"/>
      <w:marBottom w:val="0"/>
      <w:divBdr>
        <w:top w:val="none" w:sz="0" w:space="0" w:color="auto"/>
        <w:left w:val="none" w:sz="0" w:space="0" w:color="auto"/>
        <w:bottom w:val="none" w:sz="0" w:space="0" w:color="auto"/>
        <w:right w:val="none" w:sz="0" w:space="0" w:color="auto"/>
      </w:divBdr>
    </w:div>
    <w:div w:id="985284865">
      <w:bodyDiv w:val="1"/>
      <w:marLeft w:val="0"/>
      <w:marRight w:val="0"/>
      <w:marTop w:val="0"/>
      <w:marBottom w:val="0"/>
      <w:divBdr>
        <w:top w:val="none" w:sz="0" w:space="0" w:color="auto"/>
        <w:left w:val="none" w:sz="0" w:space="0" w:color="auto"/>
        <w:bottom w:val="none" w:sz="0" w:space="0" w:color="auto"/>
        <w:right w:val="none" w:sz="0" w:space="0" w:color="auto"/>
      </w:divBdr>
    </w:div>
    <w:div w:id="996035385">
      <w:bodyDiv w:val="1"/>
      <w:marLeft w:val="0"/>
      <w:marRight w:val="0"/>
      <w:marTop w:val="0"/>
      <w:marBottom w:val="0"/>
      <w:divBdr>
        <w:top w:val="none" w:sz="0" w:space="0" w:color="auto"/>
        <w:left w:val="none" w:sz="0" w:space="0" w:color="auto"/>
        <w:bottom w:val="none" w:sz="0" w:space="0" w:color="auto"/>
        <w:right w:val="none" w:sz="0" w:space="0" w:color="auto"/>
      </w:divBdr>
    </w:div>
    <w:div w:id="1028413833">
      <w:bodyDiv w:val="1"/>
      <w:marLeft w:val="0"/>
      <w:marRight w:val="0"/>
      <w:marTop w:val="0"/>
      <w:marBottom w:val="0"/>
      <w:divBdr>
        <w:top w:val="none" w:sz="0" w:space="0" w:color="auto"/>
        <w:left w:val="none" w:sz="0" w:space="0" w:color="auto"/>
        <w:bottom w:val="none" w:sz="0" w:space="0" w:color="auto"/>
        <w:right w:val="none" w:sz="0" w:space="0" w:color="auto"/>
      </w:divBdr>
    </w:div>
    <w:div w:id="1031567775">
      <w:bodyDiv w:val="1"/>
      <w:marLeft w:val="0"/>
      <w:marRight w:val="0"/>
      <w:marTop w:val="0"/>
      <w:marBottom w:val="0"/>
      <w:divBdr>
        <w:top w:val="none" w:sz="0" w:space="0" w:color="auto"/>
        <w:left w:val="none" w:sz="0" w:space="0" w:color="auto"/>
        <w:bottom w:val="none" w:sz="0" w:space="0" w:color="auto"/>
        <w:right w:val="none" w:sz="0" w:space="0" w:color="auto"/>
      </w:divBdr>
    </w:div>
    <w:div w:id="1039166393">
      <w:bodyDiv w:val="1"/>
      <w:marLeft w:val="0"/>
      <w:marRight w:val="0"/>
      <w:marTop w:val="0"/>
      <w:marBottom w:val="0"/>
      <w:divBdr>
        <w:top w:val="none" w:sz="0" w:space="0" w:color="auto"/>
        <w:left w:val="none" w:sz="0" w:space="0" w:color="auto"/>
        <w:bottom w:val="none" w:sz="0" w:space="0" w:color="auto"/>
        <w:right w:val="none" w:sz="0" w:space="0" w:color="auto"/>
      </w:divBdr>
    </w:div>
    <w:div w:id="1044251860">
      <w:bodyDiv w:val="1"/>
      <w:marLeft w:val="0"/>
      <w:marRight w:val="0"/>
      <w:marTop w:val="0"/>
      <w:marBottom w:val="0"/>
      <w:divBdr>
        <w:top w:val="none" w:sz="0" w:space="0" w:color="auto"/>
        <w:left w:val="none" w:sz="0" w:space="0" w:color="auto"/>
        <w:bottom w:val="none" w:sz="0" w:space="0" w:color="auto"/>
        <w:right w:val="none" w:sz="0" w:space="0" w:color="auto"/>
      </w:divBdr>
    </w:div>
    <w:div w:id="1051459661">
      <w:bodyDiv w:val="1"/>
      <w:marLeft w:val="0"/>
      <w:marRight w:val="0"/>
      <w:marTop w:val="0"/>
      <w:marBottom w:val="0"/>
      <w:divBdr>
        <w:top w:val="none" w:sz="0" w:space="0" w:color="auto"/>
        <w:left w:val="none" w:sz="0" w:space="0" w:color="auto"/>
        <w:bottom w:val="none" w:sz="0" w:space="0" w:color="auto"/>
        <w:right w:val="none" w:sz="0" w:space="0" w:color="auto"/>
      </w:divBdr>
    </w:div>
    <w:div w:id="1060833982">
      <w:bodyDiv w:val="1"/>
      <w:marLeft w:val="0"/>
      <w:marRight w:val="0"/>
      <w:marTop w:val="0"/>
      <w:marBottom w:val="0"/>
      <w:divBdr>
        <w:top w:val="none" w:sz="0" w:space="0" w:color="auto"/>
        <w:left w:val="none" w:sz="0" w:space="0" w:color="auto"/>
        <w:bottom w:val="none" w:sz="0" w:space="0" w:color="auto"/>
        <w:right w:val="none" w:sz="0" w:space="0" w:color="auto"/>
      </w:divBdr>
      <w:divsChild>
        <w:div w:id="255867386">
          <w:marLeft w:val="0"/>
          <w:marRight w:val="0"/>
          <w:marTop w:val="0"/>
          <w:marBottom w:val="0"/>
          <w:divBdr>
            <w:top w:val="none" w:sz="0" w:space="0" w:color="auto"/>
            <w:left w:val="none" w:sz="0" w:space="0" w:color="auto"/>
            <w:bottom w:val="none" w:sz="0" w:space="0" w:color="auto"/>
            <w:right w:val="none" w:sz="0" w:space="0" w:color="auto"/>
          </w:divBdr>
          <w:divsChild>
            <w:div w:id="1816943459">
              <w:marLeft w:val="0"/>
              <w:marRight w:val="0"/>
              <w:marTop w:val="0"/>
              <w:marBottom w:val="336"/>
              <w:divBdr>
                <w:top w:val="none" w:sz="0" w:space="0" w:color="auto"/>
                <w:left w:val="none" w:sz="0" w:space="0" w:color="auto"/>
                <w:bottom w:val="none" w:sz="0" w:space="0" w:color="auto"/>
                <w:right w:val="none" w:sz="0" w:space="0" w:color="auto"/>
              </w:divBdr>
              <w:divsChild>
                <w:div w:id="726801146">
                  <w:marLeft w:val="0"/>
                  <w:marRight w:val="0"/>
                  <w:marTop w:val="0"/>
                  <w:marBottom w:val="0"/>
                  <w:divBdr>
                    <w:top w:val="none" w:sz="0" w:space="0" w:color="auto"/>
                    <w:left w:val="none" w:sz="0" w:space="0" w:color="auto"/>
                    <w:bottom w:val="none" w:sz="0" w:space="0" w:color="auto"/>
                    <w:right w:val="none" w:sz="0" w:space="0" w:color="auto"/>
                  </w:divBdr>
                  <w:divsChild>
                    <w:div w:id="1580022255">
                      <w:marLeft w:val="0"/>
                      <w:marRight w:val="0"/>
                      <w:marTop w:val="0"/>
                      <w:marBottom w:val="0"/>
                      <w:divBdr>
                        <w:top w:val="none" w:sz="0" w:space="0" w:color="auto"/>
                        <w:left w:val="none" w:sz="0" w:space="0" w:color="auto"/>
                        <w:bottom w:val="none" w:sz="0" w:space="0" w:color="auto"/>
                        <w:right w:val="none" w:sz="0" w:space="0" w:color="auto"/>
                      </w:divBdr>
                      <w:divsChild>
                        <w:div w:id="179204339">
                          <w:marLeft w:val="0"/>
                          <w:marRight w:val="0"/>
                          <w:marTop w:val="0"/>
                          <w:marBottom w:val="0"/>
                          <w:divBdr>
                            <w:top w:val="none" w:sz="0" w:space="0" w:color="auto"/>
                            <w:left w:val="none" w:sz="0" w:space="0" w:color="auto"/>
                            <w:bottom w:val="none" w:sz="0" w:space="0" w:color="auto"/>
                            <w:right w:val="none" w:sz="0" w:space="0" w:color="auto"/>
                          </w:divBdr>
                        </w:div>
                        <w:div w:id="458648958">
                          <w:marLeft w:val="0"/>
                          <w:marRight w:val="0"/>
                          <w:marTop w:val="0"/>
                          <w:marBottom w:val="0"/>
                          <w:divBdr>
                            <w:top w:val="none" w:sz="0" w:space="0" w:color="auto"/>
                            <w:left w:val="none" w:sz="0" w:space="0" w:color="auto"/>
                            <w:bottom w:val="none" w:sz="0" w:space="0" w:color="auto"/>
                            <w:right w:val="none" w:sz="0" w:space="0" w:color="auto"/>
                          </w:divBdr>
                          <w:divsChild>
                            <w:div w:id="428622479">
                              <w:marLeft w:val="0"/>
                              <w:marRight w:val="360"/>
                              <w:marTop w:val="0"/>
                              <w:marBottom w:val="0"/>
                              <w:divBdr>
                                <w:top w:val="none" w:sz="0" w:space="0" w:color="auto"/>
                                <w:left w:val="none" w:sz="0" w:space="0" w:color="auto"/>
                                <w:bottom w:val="none" w:sz="0" w:space="0" w:color="auto"/>
                                <w:right w:val="none" w:sz="0" w:space="0" w:color="auto"/>
                              </w:divBdr>
                              <w:divsChild>
                                <w:div w:id="1566526276">
                                  <w:marLeft w:val="0"/>
                                  <w:marRight w:val="0"/>
                                  <w:marTop w:val="0"/>
                                  <w:marBottom w:val="0"/>
                                  <w:divBdr>
                                    <w:top w:val="none" w:sz="0" w:space="0" w:color="auto"/>
                                    <w:left w:val="none" w:sz="0" w:space="0" w:color="auto"/>
                                    <w:bottom w:val="none" w:sz="0" w:space="0" w:color="auto"/>
                                    <w:right w:val="none" w:sz="0" w:space="0" w:color="auto"/>
                                  </w:divBdr>
                                </w:div>
                              </w:divsChild>
                            </w:div>
                            <w:div w:id="553009294">
                              <w:marLeft w:val="0"/>
                              <w:marRight w:val="360"/>
                              <w:marTop w:val="0"/>
                              <w:marBottom w:val="0"/>
                              <w:divBdr>
                                <w:top w:val="none" w:sz="0" w:space="0" w:color="auto"/>
                                <w:left w:val="none" w:sz="0" w:space="0" w:color="auto"/>
                                <w:bottom w:val="none" w:sz="0" w:space="0" w:color="auto"/>
                                <w:right w:val="none" w:sz="0" w:space="0" w:color="auto"/>
                              </w:divBdr>
                              <w:divsChild>
                                <w:div w:id="101608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810992">
                          <w:marLeft w:val="0"/>
                          <w:marRight w:val="0"/>
                          <w:marTop w:val="0"/>
                          <w:marBottom w:val="0"/>
                          <w:divBdr>
                            <w:top w:val="none" w:sz="0" w:space="0" w:color="auto"/>
                            <w:left w:val="none" w:sz="0" w:space="0" w:color="auto"/>
                            <w:bottom w:val="none" w:sz="0" w:space="0" w:color="auto"/>
                            <w:right w:val="none" w:sz="0" w:space="0" w:color="auto"/>
                          </w:divBdr>
                          <w:divsChild>
                            <w:div w:id="478352897">
                              <w:marLeft w:val="0"/>
                              <w:marRight w:val="0"/>
                              <w:marTop w:val="0"/>
                              <w:marBottom w:val="0"/>
                              <w:divBdr>
                                <w:top w:val="none" w:sz="0" w:space="0" w:color="auto"/>
                                <w:left w:val="none" w:sz="0" w:space="0" w:color="auto"/>
                                <w:bottom w:val="none" w:sz="0" w:space="0" w:color="auto"/>
                                <w:right w:val="none" w:sz="0" w:space="0" w:color="auto"/>
                              </w:divBdr>
                            </w:div>
                          </w:divsChild>
                        </w:div>
                        <w:div w:id="1613440916">
                          <w:marLeft w:val="0"/>
                          <w:marRight w:val="0"/>
                          <w:marTop w:val="0"/>
                          <w:marBottom w:val="240"/>
                          <w:divBdr>
                            <w:top w:val="none" w:sz="0" w:space="0" w:color="auto"/>
                            <w:left w:val="none" w:sz="0" w:space="0" w:color="auto"/>
                            <w:bottom w:val="none" w:sz="0" w:space="0" w:color="auto"/>
                            <w:right w:val="none" w:sz="0" w:space="0" w:color="auto"/>
                          </w:divBdr>
                          <w:divsChild>
                            <w:div w:id="1619605684">
                              <w:marLeft w:val="0"/>
                              <w:marRight w:val="0"/>
                              <w:marTop w:val="336"/>
                              <w:marBottom w:val="0"/>
                              <w:divBdr>
                                <w:top w:val="none" w:sz="0" w:space="0" w:color="auto"/>
                                <w:left w:val="none" w:sz="0" w:space="0" w:color="auto"/>
                                <w:bottom w:val="none" w:sz="0" w:space="0" w:color="auto"/>
                                <w:right w:val="none" w:sz="0" w:space="0" w:color="auto"/>
                              </w:divBdr>
                              <w:divsChild>
                                <w:div w:id="1177159041">
                                  <w:marLeft w:val="0"/>
                                  <w:marRight w:val="0"/>
                                  <w:marTop w:val="0"/>
                                  <w:marBottom w:val="0"/>
                                  <w:divBdr>
                                    <w:top w:val="none" w:sz="0" w:space="0" w:color="auto"/>
                                    <w:left w:val="none" w:sz="0" w:space="0" w:color="auto"/>
                                    <w:bottom w:val="none" w:sz="0" w:space="0" w:color="auto"/>
                                    <w:right w:val="none" w:sz="0" w:space="0" w:color="auto"/>
                                  </w:divBdr>
                                </w:div>
                                <w:div w:id="1350373356">
                                  <w:marLeft w:val="0"/>
                                  <w:marRight w:val="0"/>
                                  <w:marTop w:val="0"/>
                                  <w:marBottom w:val="0"/>
                                  <w:divBdr>
                                    <w:top w:val="none" w:sz="0" w:space="0" w:color="auto"/>
                                    <w:left w:val="none" w:sz="0" w:space="0" w:color="auto"/>
                                    <w:bottom w:val="none" w:sz="0" w:space="0" w:color="auto"/>
                                    <w:right w:val="none" w:sz="0" w:space="0" w:color="auto"/>
                                  </w:divBdr>
                                  <w:divsChild>
                                    <w:div w:id="81437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883001">
                              <w:marLeft w:val="0"/>
                              <w:marRight w:val="0"/>
                              <w:marTop w:val="0"/>
                              <w:marBottom w:val="336"/>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9330201">
      <w:bodyDiv w:val="1"/>
      <w:marLeft w:val="0"/>
      <w:marRight w:val="0"/>
      <w:marTop w:val="0"/>
      <w:marBottom w:val="0"/>
      <w:divBdr>
        <w:top w:val="none" w:sz="0" w:space="0" w:color="auto"/>
        <w:left w:val="none" w:sz="0" w:space="0" w:color="auto"/>
        <w:bottom w:val="none" w:sz="0" w:space="0" w:color="auto"/>
        <w:right w:val="none" w:sz="0" w:space="0" w:color="auto"/>
      </w:divBdr>
    </w:div>
    <w:div w:id="1101337279">
      <w:bodyDiv w:val="1"/>
      <w:marLeft w:val="0"/>
      <w:marRight w:val="0"/>
      <w:marTop w:val="0"/>
      <w:marBottom w:val="0"/>
      <w:divBdr>
        <w:top w:val="none" w:sz="0" w:space="0" w:color="auto"/>
        <w:left w:val="none" w:sz="0" w:space="0" w:color="auto"/>
        <w:bottom w:val="none" w:sz="0" w:space="0" w:color="auto"/>
        <w:right w:val="none" w:sz="0" w:space="0" w:color="auto"/>
      </w:divBdr>
    </w:div>
    <w:div w:id="1110785182">
      <w:bodyDiv w:val="1"/>
      <w:marLeft w:val="0"/>
      <w:marRight w:val="0"/>
      <w:marTop w:val="0"/>
      <w:marBottom w:val="0"/>
      <w:divBdr>
        <w:top w:val="none" w:sz="0" w:space="0" w:color="auto"/>
        <w:left w:val="none" w:sz="0" w:space="0" w:color="auto"/>
        <w:bottom w:val="none" w:sz="0" w:space="0" w:color="auto"/>
        <w:right w:val="none" w:sz="0" w:space="0" w:color="auto"/>
      </w:divBdr>
    </w:div>
    <w:div w:id="1116102365">
      <w:bodyDiv w:val="1"/>
      <w:marLeft w:val="0"/>
      <w:marRight w:val="0"/>
      <w:marTop w:val="0"/>
      <w:marBottom w:val="0"/>
      <w:divBdr>
        <w:top w:val="none" w:sz="0" w:space="0" w:color="auto"/>
        <w:left w:val="none" w:sz="0" w:space="0" w:color="auto"/>
        <w:bottom w:val="none" w:sz="0" w:space="0" w:color="auto"/>
        <w:right w:val="none" w:sz="0" w:space="0" w:color="auto"/>
      </w:divBdr>
    </w:div>
    <w:div w:id="1132096493">
      <w:bodyDiv w:val="1"/>
      <w:marLeft w:val="0"/>
      <w:marRight w:val="0"/>
      <w:marTop w:val="0"/>
      <w:marBottom w:val="0"/>
      <w:divBdr>
        <w:top w:val="none" w:sz="0" w:space="0" w:color="auto"/>
        <w:left w:val="none" w:sz="0" w:space="0" w:color="auto"/>
        <w:bottom w:val="none" w:sz="0" w:space="0" w:color="auto"/>
        <w:right w:val="none" w:sz="0" w:space="0" w:color="auto"/>
      </w:divBdr>
    </w:div>
    <w:div w:id="1158230878">
      <w:bodyDiv w:val="1"/>
      <w:marLeft w:val="0"/>
      <w:marRight w:val="0"/>
      <w:marTop w:val="0"/>
      <w:marBottom w:val="0"/>
      <w:divBdr>
        <w:top w:val="none" w:sz="0" w:space="0" w:color="auto"/>
        <w:left w:val="none" w:sz="0" w:space="0" w:color="auto"/>
        <w:bottom w:val="none" w:sz="0" w:space="0" w:color="auto"/>
        <w:right w:val="none" w:sz="0" w:space="0" w:color="auto"/>
      </w:divBdr>
    </w:div>
    <w:div w:id="1180967745">
      <w:bodyDiv w:val="1"/>
      <w:marLeft w:val="0"/>
      <w:marRight w:val="0"/>
      <w:marTop w:val="0"/>
      <w:marBottom w:val="0"/>
      <w:divBdr>
        <w:top w:val="none" w:sz="0" w:space="0" w:color="auto"/>
        <w:left w:val="none" w:sz="0" w:space="0" w:color="auto"/>
        <w:bottom w:val="none" w:sz="0" w:space="0" w:color="auto"/>
        <w:right w:val="none" w:sz="0" w:space="0" w:color="auto"/>
      </w:divBdr>
    </w:div>
    <w:div w:id="1193374599">
      <w:bodyDiv w:val="1"/>
      <w:marLeft w:val="0"/>
      <w:marRight w:val="0"/>
      <w:marTop w:val="0"/>
      <w:marBottom w:val="0"/>
      <w:divBdr>
        <w:top w:val="none" w:sz="0" w:space="0" w:color="auto"/>
        <w:left w:val="none" w:sz="0" w:space="0" w:color="auto"/>
        <w:bottom w:val="none" w:sz="0" w:space="0" w:color="auto"/>
        <w:right w:val="none" w:sz="0" w:space="0" w:color="auto"/>
      </w:divBdr>
    </w:div>
    <w:div w:id="1254776004">
      <w:bodyDiv w:val="1"/>
      <w:marLeft w:val="0"/>
      <w:marRight w:val="0"/>
      <w:marTop w:val="0"/>
      <w:marBottom w:val="0"/>
      <w:divBdr>
        <w:top w:val="none" w:sz="0" w:space="0" w:color="auto"/>
        <w:left w:val="none" w:sz="0" w:space="0" w:color="auto"/>
        <w:bottom w:val="none" w:sz="0" w:space="0" w:color="auto"/>
        <w:right w:val="none" w:sz="0" w:space="0" w:color="auto"/>
      </w:divBdr>
    </w:div>
    <w:div w:id="1256330254">
      <w:bodyDiv w:val="1"/>
      <w:marLeft w:val="0"/>
      <w:marRight w:val="0"/>
      <w:marTop w:val="0"/>
      <w:marBottom w:val="0"/>
      <w:divBdr>
        <w:top w:val="none" w:sz="0" w:space="0" w:color="auto"/>
        <w:left w:val="none" w:sz="0" w:space="0" w:color="auto"/>
        <w:bottom w:val="none" w:sz="0" w:space="0" w:color="auto"/>
        <w:right w:val="none" w:sz="0" w:space="0" w:color="auto"/>
      </w:divBdr>
    </w:div>
    <w:div w:id="1265263913">
      <w:bodyDiv w:val="1"/>
      <w:marLeft w:val="0"/>
      <w:marRight w:val="0"/>
      <w:marTop w:val="0"/>
      <w:marBottom w:val="0"/>
      <w:divBdr>
        <w:top w:val="none" w:sz="0" w:space="0" w:color="auto"/>
        <w:left w:val="none" w:sz="0" w:space="0" w:color="auto"/>
        <w:bottom w:val="none" w:sz="0" w:space="0" w:color="auto"/>
        <w:right w:val="none" w:sz="0" w:space="0" w:color="auto"/>
      </w:divBdr>
    </w:div>
    <w:div w:id="1266428466">
      <w:bodyDiv w:val="1"/>
      <w:marLeft w:val="0"/>
      <w:marRight w:val="0"/>
      <w:marTop w:val="0"/>
      <w:marBottom w:val="0"/>
      <w:divBdr>
        <w:top w:val="none" w:sz="0" w:space="0" w:color="auto"/>
        <w:left w:val="none" w:sz="0" w:space="0" w:color="auto"/>
        <w:bottom w:val="none" w:sz="0" w:space="0" w:color="auto"/>
        <w:right w:val="none" w:sz="0" w:space="0" w:color="auto"/>
      </w:divBdr>
    </w:div>
    <w:div w:id="1276405571">
      <w:bodyDiv w:val="1"/>
      <w:marLeft w:val="0"/>
      <w:marRight w:val="0"/>
      <w:marTop w:val="0"/>
      <w:marBottom w:val="0"/>
      <w:divBdr>
        <w:top w:val="none" w:sz="0" w:space="0" w:color="auto"/>
        <w:left w:val="none" w:sz="0" w:space="0" w:color="auto"/>
        <w:bottom w:val="none" w:sz="0" w:space="0" w:color="auto"/>
        <w:right w:val="none" w:sz="0" w:space="0" w:color="auto"/>
      </w:divBdr>
    </w:div>
    <w:div w:id="1286889405">
      <w:bodyDiv w:val="1"/>
      <w:marLeft w:val="0"/>
      <w:marRight w:val="0"/>
      <w:marTop w:val="0"/>
      <w:marBottom w:val="0"/>
      <w:divBdr>
        <w:top w:val="none" w:sz="0" w:space="0" w:color="auto"/>
        <w:left w:val="none" w:sz="0" w:space="0" w:color="auto"/>
        <w:bottom w:val="none" w:sz="0" w:space="0" w:color="auto"/>
        <w:right w:val="none" w:sz="0" w:space="0" w:color="auto"/>
      </w:divBdr>
    </w:div>
    <w:div w:id="1312517182">
      <w:bodyDiv w:val="1"/>
      <w:marLeft w:val="0"/>
      <w:marRight w:val="0"/>
      <w:marTop w:val="0"/>
      <w:marBottom w:val="0"/>
      <w:divBdr>
        <w:top w:val="none" w:sz="0" w:space="0" w:color="auto"/>
        <w:left w:val="none" w:sz="0" w:space="0" w:color="auto"/>
        <w:bottom w:val="none" w:sz="0" w:space="0" w:color="auto"/>
        <w:right w:val="none" w:sz="0" w:space="0" w:color="auto"/>
      </w:divBdr>
    </w:div>
    <w:div w:id="1315373904">
      <w:bodyDiv w:val="1"/>
      <w:marLeft w:val="0"/>
      <w:marRight w:val="0"/>
      <w:marTop w:val="0"/>
      <w:marBottom w:val="0"/>
      <w:divBdr>
        <w:top w:val="none" w:sz="0" w:space="0" w:color="auto"/>
        <w:left w:val="none" w:sz="0" w:space="0" w:color="auto"/>
        <w:bottom w:val="none" w:sz="0" w:space="0" w:color="auto"/>
        <w:right w:val="none" w:sz="0" w:space="0" w:color="auto"/>
      </w:divBdr>
    </w:div>
    <w:div w:id="1318537397">
      <w:bodyDiv w:val="1"/>
      <w:marLeft w:val="0"/>
      <w:marRight w:val="0"/>
      <w:marTop w:val="0"/>
      <w:marBottom w:val="0"/>
      <w:divBdr>
        <w:top w:val="none" w:sz="0" w:space="0" w:color="auto"/>
        <w:left w:val="none" w:sz="0" w:space="0" w:color="auto"/>
        <w:bottom w:val="none" w:sz="0" w:space="0" w:color="auto"/>
        <w:right w:val="none" w:sz="0" w:space="0" w:color="auto"/>
      </w:divBdr>
    </w:div>
    <w:div w:id="1319309796">
      <w:bodyDiv w:val="1"/>
      <w:marLeft w:val="0"/>
      <w:marRight w:val="0"/>
      <w:marTop w:val="0"/>
      <w:marBottom w:val="0"/>
      <w:divBdr>
        <w:top w:val="none" w:sz="0" w:space="0" w:color="auto"/>
        <w:left w:val="none" w:sz="0" w:space="0" w:color="auto"/>
        <w:bottom w:val="none" w:sz="0" w:space="0" w:color="auto"/>
        <w:right w:val="none" w:sz="0" w:space="0" w:color="auto"/>
      </w:divBdr>
    </w:div>
    <w:div w:id="1329021833">
      <w:bodyDiv w:val="1"/>
      <w:marLeft w:val="0"/>
      <w:marRight w:val="0"/>
      <w:marTop w:val="0"/>
      <w:marBottom w:val="0"/>
      <w:divBdr>
        <w:top w:val="none" w:sz="0" w:space="0" w:color="auto"/>
        <w:left w:val="none" w:sz="0" w:space="0" w:color="auto"/>
        <w:bottom w:val="none" w:sz="0" w:space="0" w:color="auto"/>
        <w:right w:val="none" w:sz="0" w:space="0" w:color="auto"/>
      </w:divBdr>
    </w:div>
    <w:div w:id="1338193889">
      <w:bodyDiv w:val="1"/>
      <w:marLeft w:val="0"/>
      <w:marRight w:val="0"/>
      <w:marTop w:val="0"/>
      <w:marBottom w:val="0"/>
      <w:divBdr>
        <w:top w:val="none" w:sz="0" w:space="0" w:color="auto"/>
        <w:left w:val="none" w:sz="0" w:space="0" w:color="auto"/>
        <w:bottom w:val="none" w:sz="0" w:space="0" w:color="auto"/>
        <w:right w:val="none" w:sz="0" w:space="0" w:color="auto"/>
      </w:divBdr>
    </w:div>
    <w:div w:id="1374035944">
      <w:bodyDiv w:val="1"/>
      <w:marLeft w:val="0"/>
      <w:marRight w:val="0"/>
      <w:marTop w:val="0"/>
      <w:marBottom w:val="0"/>
      <w:divBdr>
        <w:top w:val="none" w:sz="0" w:space="0" w:color="auto"/>
        <w:left w:val="none" w:sz="0" w:space="0" w:color="auto"/>
        <w:bottom w:val="none" w:sz="0" w:space="0" w:color="auto"/>
        <w:right w:val="none" w:sz="0" w:space="0" w:color="auto"/>
      </w:divBdr>
    </w:div>
    <w:div w:id="1400404662">
      <w:bodyDiv w:val="1"/>
      <w:marLeft w:val="0"/>
      <w:marRight w:val="0"/>
      <w:marTop w:val="0"/>
      <w:marBottom w:val="0"/>
      <w:divBdr>
        <w:top w:val="none" w:sz="0" w:space="0" w:color="auto"/>
        <w:left w:val="none" w:sz="0" w:space="0" w:color="auto"/>
        <w:bottom w:val="none" w:sz="0" w:space="0" w:color="auto"/>
        <w:right w:val="none" w:sz="0" w:space="0" w:color="auto"/>
      </w:divBdr>
    </w:div>
    <w:div w:id="1408455666">
      <w:bodyDiv w:val="1"/>
      <w:marLeft w:val="0"/>
      <w:marRight w:val="0"/>
      <w:marTop w:val="0"/>
      <w:marBottom w:val="0"/>
      <w:divBdr>
        <w:top w:val="none" w:sz="0" w:space="0" w:color="auto"/>
        <w:left w:val="none" w:sz="0" w:space="0" w:color="auto"/>
        <w:bottom w:val="none" w:sz="0" w:space="0" w:color="auto"/>
        <w:right w:val="none" w:sz="0" w:space="0" w:color="auto"/>
      </w:divBdr>
    </w:div>
    <w:div w:id="1429085277">
      <w:bodyDiv w:val="1"/>
      <w:marLeft w:val="0"/>
      <w:marRight w:val="0"/>
      <w:marTop w:val="0"/>
      <w:marBottom w:val="0"/>
      <w:divBdr>
        <w:top w:val="none" w:sz="0" w:space="0" w:color="auto"/>
        <w:left w:val="none" w:sz="0" w:space="0" w:color="auto"/>
        <w:bottom w:val="none" w:sz="0" w:space="0" w:color="auto"/>
        <w:right w:val="none" w:sz="0" w:space="0" w:color="auto"/>
      </w:divBdr>
    </w:div>
    <w:div w:id="1454012128">
      <w:bodyDiv w:val="1"/>
      <w:marLeft w:val="0"/>
      <w:marRight w:val="0"/>
      <w:marTop w:val="0"/>
      <w:marBottom w:val="0"/>
      <w:divBdr>
        <w:top w:val="none" w:sz="0" w:space="0" w:color="auto"/>
        <w:left w:val="none" w:sz="0" w:space="0" w:color="auto"/>
        <w:bottom w:val="none" w:sz="0" w:space="0" w:color="auto"/>
        <w:right w:val="none" w:sz="0" w:space="0" w:color="auto"/>
      </w:divBdr>
    </w:div>
    <w:div w:id="1461681312">
      <w:bodyDiv w:val="1"/>
      <w:marLeft w:val="0"/>
      <w:marRight w:val="0"/>
      <w:marTop w:val="0"/>
      <w:marBottom w:val="0"/>
      <w:divBdr>
        <w:top w:val="none" w:sz="0" w:space="0" w:color="auto"/>
        <w:left w:val="none" w:sz="0" w:space="0" w:color="auto"/>
        <w:bottom w:val="none" w:sz="0" w:space="0" w:color="auto"/>
        <w:right w:val="none" w:sz="0" w:space="0" w:color="auto"/>
      </w:divBdr>
    </w:div>
    <w:div w:id="1478061371">
      <w:bodyDiv w:val="1"/>
      <w:marLeft w:val="0"/>
      <w:marRight w:val="0"/>
      <w:marTop w:val="0"/>
      <w:marBottom w:val="0"/>
      <w:divBdr>
        <w:top w:val="none" w:sz="0" w:space="0" w:color="auto"/>
        <w:left w:val="none" w:sz="0" w:space="0" w:color="auto"/>
        <w:bottom w:val="none" w:sz="0" w:space="0" w:color="auto"/>
        <w:right w:val="none" w:sz="0" w:space="0" w:color="auto"/>
      </w:divBdr>
    </w:div>
    <w:div w:id="1481730282">
      <w:bodyDiv w:val="1"/>
      <w:marLeft w:val="0"/>
      <w:marRight w:val="0"/>
      <w:marTop w:val="0"/>
      <w:marBottom w:val="0"/>
      <w:divBdr>
        <w:top w:val="none" w:sz="0" w:space="0" w:color="auto"/>
        <w:left w:val="none" w:sz="0" w:space="0" w:color="auto"/>
        <w:bottom w:val="none" w:sz="0" w:space="0" w:color="auto"/>
        <w:right w:val="none" w:sz="0" w:space="0" w:color="auto"/>
      </w:divBdr>
    </w:div>
    <w:div w:id="1482232151">
      <w:bodyDiv w:val="1"/>
      <w:marLeft w:val="0"/>
      <w:marRight w:val="0"/>
      <w:marTop w:val="0"/>
      <w:marBottom w:val="0"/>
      <w:divBdr>
        <w:top w:val="none" w:sz="0" w:space="0" w:color="auto"/>
        <w:left w:val="none" w:sz="0" w:space="0" w:color="auto"/>
        <w:bottom w:val="none" w:sz="0" w:space="0" w:color="auto"/>
        <w:right w:val="none" w:sz="0" w:space="0" w:color="auto"/>
      </w:divBdr>
    </w:div>
    <w:div w:id="1492596717">
      <w:bodyDiv w:val="1"/>
      <w:marLeft w:val="0"/>
      <w:marRight w:val="0"/>
      <w:marTop w:val="0"/>
      <w:marBottom w:val="0"/>
      <w:divBdr>
        <w:top w:val="none" w:sz="0" w:space="0" w:color="auto"/>
        <w:left w:val="none" w:sz="0" w:space="0" w:color="auto"/>
        <w:bottom w:val="none" w:sz="0" w:space="0" w:color="auto"/>
        <w:right w:val="none" w:sz="0" w:space="0" w:color="auto"/>
      </w:divBdr>
    </w:div>
    <w:div w:id="1493062242">
      <w:bodyDiv w:val="1"/>
      <w:marLeft w:val="0"/>
      <w:marRight w:val="0"/>
      <w:marTop w:val="0"/>
      <w:marBottom w:val="0"/>
      <w:divBdr>
        <w:top w:val="none" w:sz="0" w:space="0" w:color="auto"/>
        <w:left w:val="none" w:sz="0" w:space="0" w:color="auto"/>
        <w:bottom w:val="none" w:sz="0" w:space="0" w:color="auto"/>
        <w:right w:val="none" w:sz="0" w:space="0" w:color="auto"/>
      </w:divBdr>
    </w:div>
    <w:div w:id="1512911600">
      <w:bodyDiv w:val="1"/>
      <w:marLeft w:val="0"/>
      <w:marRight w:val="0"/>
      <w:marTop w:val="0"/>
      <w:marBottom w:val="0"/>
      <w:divBdr>
        <w:top w:val="none" w:sz="0" w:space="0" w:color="auto"/>
        <w:left w:val="none" w:sz="0" w:space="0" w:color="auto"/>
        <w:bottom w:val="none" w:sz="0" w:space="0" w:color="auto"/>
        <w:right w:val="none" w:sz="0" w:space="0" w:color="auto"/>
      </w:divBdr>
    </w:div>
    <w:div w:id="1514763706">
      <w:bodyDiv w:val="1"/>
      <w:marLeft w:val="0"/>
      <w:marRight w:val="0"/>
      <w:marTop w:val="0"/>
      <w:marBottom w:val="0"/>
      <w:divBdr>
        <w:top w:val="none" w:sz="0" w:space="0" w:color="auto"/>
        <w:left w:val="none" w:sz="0" w:space="0" w:color="auto"/>
        <w:bottom w:val="none" w:sz="0" w:space="0" w:color="auto"/>
        <w:right w:val="none" w:sz="0" w:space="0" w:color="auto"/>
      </w:divBdr>
    </w:div>
    <w:div w:id="1518230169">
      <w:bodyDiv w:val="1"/>
      <w:marLeft w:val="0"/>
      <w:marRight w:val="0"/>
      <w:marTop w:val="0"/>
      <w:marBottom w:val="0"/>
      <w:divBdr>
        <w:top w:val="none" w:sz="0" w:space="0" w:color="auto"/>
        <w:left w:val="none" w:sz="0" w:space="0" w:color="auto"/>
        <w:bottom w:val="none" w:sz="0" w:space="0" w:color="auto"/>
        <w:right w:val="none" w:sz="0" w:space="0" w:color="auto"/>
      </w:divBdr>
    </w:div>
    <w:div w:id="1525436768">
      <w:bodyDiv w:val="1"/>
      <w:marLeft w:val="0"/>
      <w:marRight w:val="0"/>
      <w:marTop w:val="0"/>
      <w:marBottom w:val="0"/>
      <w:divBdr>
        <w:top w:val="none" w:sz="0" w:space="0" w:color="auto"/>
        <w:left w:val="none" w:sz="0" w:space="0" w:color="auto"/>
        <w:bottom w:val="none" w:sz="0" w:space="0" w:color="auto"/>
        <w:right w:val="none" w:sz="0" w:space="0" w:color="auto"/>
      </w:divBdr>
    </w:div>
    <w:div w:id="1534461042">
      <w:bodyDiv w:val="1"/>
      <w:marLeft w:val="0"/>
      <w:marRight w:val="0"/>
      <w:marTop w:val="0"/>
      <w:marBottom w:val="0"/>
      <w:divBdr>
        <w:top w:val="none" w:sz="0" w:space="0" w:color="auto"/>
        <w:left w:val="none" w:sz="0" w:space="0" w:color="auto"/>
        <w:bottom w:val="none" w:sz="0" w:space="0" w:color="auto"/>
        <w:right w:val="none" w:sz="0" w:space="0" w:color="auto"/>
      </w:divBdr>
    </w:div>
    <w:div w:id="1560632774">
      <w:bodyDiv w:val="1"/>
      <w:marLeft w:val="0"/>
      <w:marRight w:val="0"/>
      <w:marTop w:val="0"/>
      <w:marBottom w:val="0"/>
      <w:divBdr>
        <w:top w:val="none" w:sz="0" w:space="0" w:color="auto"/>
        <w:left w:val="none" w:sz="0" w:space="0" w:color="auto"/>
        <w:bottom w:val="none" w:sz="0" w:space="0" w:color="auto"/>
        <w:right w:val="none" w:sz="0" w:space="0" w:color="auto"/>
      </w:divBdr>
    </w:div>
    <w:div w:id="1563446942">
      <w:bodyDiv w:val="1"/>
      <w:marLeft w:val="0"/>
      <w:marRight w:val="0"/>
      <w:marTop w:val="0"/>
      <w:marBottom w:val="0"/>
      <w:divBdr>
        <w:top w:val="none" w:sz="0" w:space="0" w:color="auto"/>
        <w:left w:val="none" w:sz="0" w:space="0" w:color="auto"/>
        <w:bottom w:val="none" w:sz="0" w:space="0" w:color="auto"/>
        <w:right w:val="none" w:sz="0" w:space="0" w:color="auto"/>
      </w:divBdr>
    </w:div>
    <w:div w:id="1577663144">
      <w:bodyDiv w:val="1"/>
      <w:marLeft w:val="0"/>
      <w:marRight w:val="0"/>
      <w:marTop w:val="0"/>
      <w:marBottom w:val="0"/>
      <w:divBdr>
        <w:top w:val="none" w:sz="0" w:space="0" w:color="auto"/>
        <w:left w:val="none" w:sz="0" w:space="0" w:color="auto"/>
        <w:bottom w:val="none" w:sz="0" w:space="0" w:color="auto"/>
        <w:right w:val="none" w:sz="0" w:space="0" w:color="auto"/>
      </w:divBdr>
    </w:div>
    <w:div w:id="1582256512">
      <w:bodyDiv w:val="1"/>
      <w:marLeft w:val="0"/>
      <w:marRight w:val="0"/>
      <w:marTop w:val="0"/>
      <w:marBottom w:val="0"/>
      <w:divBdr>
        <w:top w:val="none" w:sz="0" w:space="0" w:color="auto"/>
        <w:left w:val="none" w:sz="0" w:space="0" w:color="auto"/>
        <w:bottom w:val="none" w:sz="0" w:space="0" w:color="auto"/>
        <w:right w:val="none" w:sz="0" w:space="0" w:color="auto"/>
      </w:divBdr>
    </w:div>
    <w:div w:id="1595673081">
      <w:bodyDiv w:val="1"/>
      <w:marLeft w:val="0"/>
      <w:marRight w:val="0"/>
      <w:marTop w:val="0"/>
      <w:marBottom w:val="0"/>
      <w:divBdr>
        <w:top w:val="none" w:sz="0" w:space="0" w:color="auto"/>
        <w:left w:val="none" w:sz="0" w:space="0" w:color="auto"/>
        <w:bottom w:val="none" w:sz="0" w:space="0" w:color="auto"/>
        <w:right w:val="none" w:sz="0" w:space="0" w:color="auto"/>
      </w:divBdr>
    </w:div>
    <w:div w:id="1606232171">
      <w:bodyDiv w:val="1"/>
      <w:marLeft w:val="0"/>
      <w:marRight w:val="0"/>
      <w:marTop w:val="0"/>
      <w:marBottom w:val="0"/>
      <w:divBdr>
        <w:top w:val="none" w:sz="0" w:space="0" w:color="auto"/>
        <w:left w:val="none" w:sz="0" w:space="0" w:color="auto"/>
        <w:bottom w:val="none" w:sz="0" w:space="0" w:color="auto"/>
        <w:right w:val="none" w:sz="0" w:space="0" w:color="auto"/>
      </w:divBdr>
    </w:div>
    <w:div w:id="1614634533">
      <w:bodyDiv w:val="1"/>
      <w:marLeft w:val="0"/>
      <w:marRight w:val="0"/>
      <w:marTop w:val="0"/>
      <w:marBottom w:val="0"/>
      <w:divBdr>
        <w:top w:val="none" w:sz="0" w:space="0" w:color="auto"/>
        <w:left w:val="none" w:sz="0" w:space="0" w:color="auto"/>
        <w:bottom w:val="none" w:sz="0" w:space="0" w:color="auto"/>
        <w:right w:val="none" w:sz="0" w:space="0" w:color="auto"/>
      </w:divBdr>
    </w:div>
    <w:div w:id="1621305757">
      <w:bodyDiv w:val="1"/>
      <w:marLeft w:val="0"/>
      <w:marRight w:val="0"/>
      <w:marTop w:val="0"/>
      <w:marBottom w:val="0"/>
      <w:divBdr>
        <w:top w:val="none" w:sz="0" w:space="0" w:color="auto"/>
        <w:left w:val="none" w:sz="0" w:space="0" w:color="auto"/>
        <w:bottom w:val="none" w:sz="0" w:space="0" w:color="auto"/>
        <w:right w:val="none" w:sz="0" w:space="0" w:color="auto"/>
      </w:divBdr>
    </w:div>
    <w:div w:id="1628391963">
      <w:bodyDiv w:val="1"/>
      <w:marLeft w:val="0"/>
      <w:marRight w:val="0"/>
      <w:marTop w:val="0"/>
      <w:marBottom w:val="0"/>
      <w:divBdr>
        <w:top w:val="none" w:sz="0" w:space="0" w:color="auto"/>
        <w:left w:val="none" w:sz="0" w:space="0" w:color="auto"/>
        <w:bottom w:val="none" w:sz="0" w:space="0" w:color="auto"/>
        <w:right w:val="none" w:sz="0" w:space="0" w:color="auto"/>
      </w:divBdr>
    </w:div>
    <w:div w:id="1638491362">
      <w:bodyDiv w:val="1"/>
      <w:marLeft w:val="0"/>
      <w:marRight w:val="0"/>
      <w:marTop w:val="0"/>
      <w:marBottom w:val="0"/>
      <w:divBdr>
        <w:top w:val="none" w:sz="0" w:space="0" w:color="auto"/>
        <w:left w:val="none" w:sz="0" w:space="0" w:color="auto"/>
        <w:bottom w:val="none" w:sz="0" w:space="0" w:color="auto"/>
        <w:right w:val="none" w:sz="0" w:space="0" w:color="auto"/>
      </w:divBdr>
    </w:div>
    <w:div w:id="1667510748">
      <w:bodyDiv w:val="1"/>
      <w:marLeft w:val="0"/>
      <w:marRight w:val="0"/>
      <w:marTop w:val="0"/>
      <w:marBottom w:val="0"/>
      <w:divBdr>
        <w:top w:val="none" w:sz="0" w:space="0" w:color="auto"/>
        <w:left w:val="none" w:sz="0" w:space="0" w:color="auto"/>
        <w:bottom w:val="none" w:sz="0" w:space="0" w:color="auto"/>
        <w:right w:val="none" w:sz="0" w:space="0" w:color="auto"/>
      </w:divBdr>
    </w:div>
    <w:div w:id="1680810843">
      <w:bodyDiv w:val="1"/>
      <w:marLeft w:val="0"/>
      <w:marRight w:val="0"/>
      <w:marTop w:val="0"/>
      <w:marBottom w:val="0"/>
      <w:divBdr>
        <w:top w:val="none" w:sz="0" w:space="0" w:color="auto"/>
        <w:left w:val="none" w:sz="0" w:space="0" w:color="auto"/>
        <w:bottom w:val="none" w:sz="0" w:space="0" w:color="auto"/>
        <w:right w:val="none" w:sz="0" w:space="0" w:color="auto"/>
      </w:divBdr>
    </w:div>
    <w:div w:id="1696232580">
      <w:bodyDiv w:val="1"/>
      <w:marLeft w:val="0"/>
      <w:marRight w:val="0"/>
      <w:marTop w:val="0"/>
      <w:marBottom w:val="0"/>
      <w:divBdr>
        <w:top w:val="none" w:sz="0" w:space="0" w:color="auto"/>
        <w:left w:val="none" w:sz="0" w:space="0" w:color="auto"/>
        <w:bottom w:val="none" w:sz="0" w:space="0" w:color="auto"/>
        <w:right w:val="none" w:sz="0" w:space="0" w:color="auto"/>
      </w:divBdr>
    </w:div>
    <w:div w:id="1713071991">
      <w:bodyDiv w:val="1"/>
      <w:marLeft w:val="0"/>
      <w:marRight w:val="0"/>
      <w:marTop w:val="0"/>
      <w:marBottom w:val="0"/>
      <w:divBdr>
        <w:top w:val="none" w:sz="0" w:space="0" w:color="auto"/>
        <w:left w:val="none" w:sz="0" w:space="0" w:color="auto"/>
        <w:bottom w:val="none" w:sz="0" w:space="0" w:color="auto"/>
        <w:right w:val="none" w:sz="0" w:space="0" w:color="auto"/>
      </w:divBdr>
    </w:div>
    <w:div w:id="1716853371">
      <w:bodyDiv w:val="1"/>
      <w:marLeft w:val="0"/>
      <w:marRight w:val="0"/>
      <w:marTop w:val="0"/>
      <w:marBottom w:val="0"/>
      <w:divBdr>
        <w:top w:val="none" w:sz="0" w:space="0" w:color="auto"/>
        <w:left w:val="none" w:sz="0" w:space="0" w:color="auto"/>
        <w:bottom w:val="none" w:sz="0" w:space="0" w:color="auto"/>
        <w:right w:val="none" w:sz="0" w:space="0" w:color="auto"/>
      </w:divBdr>
    </w:div>
    <w:div w:id="1722360942">
      <w:bodyDiv w:val="1"/>
      <w:marLeft w:val="0"/>
      <w:marRight w:val="0"/>
      <w:marTop w:val="0"/>
      <w:marBottom w:val="0"/>
      <w:divBdr>
        <w:top w:val="none" w:sz="0" w:space="0" w:color="auto"/>
        <w:left w:val="none" w:sz="0" w:space="0" w:color="auto"/>
        <w:bottom w:val="none" w:sz="0" w:space="0" w:color="auto"/>
        <w:right w:val="none" w:sz="0" w:space="0" w:color="auto"/>
      </w:divBdr>
    </w:div>
    <w:div w:id="1758751427">
      <w:bodyDiv w:val="1"/>
      <w:marLeft w:val="0"/>
      <w:marRight w:val="0"/>
      <w:marTop w:val="0"/>
      <w:marBottom w:val="0"/>
      <w:divBdr>
        <w:top w:val="none" w:sz="0" w:space="0" w:color="auto"/>
        <w:left w:val="none" w:sz="0" w:space="0" w:color="auto"/>
        <w:bottom w:val="none" w:sz="0" w:space="0" w:color="auto"/>
        <w:right w:val="none" w:sz="0" w:space="0" w:color="auto"/>
      </w:divBdr>
    </w:div>
    <w:div w:id="1761828745">
      <w:bodyDiv w:val="1"/>
      <w:marLeft w:val="0"/>
      <w:marRight w:val="0"/>
      <w:marTop w:val="0"/>
      <w:marBottom w:val="0"/>
      <w:divBdr>
        <w:top w:val="none" w:sz="0" w:space="0" w:color="auto"/>
        <w:left w:val="none" w:sz="0" w:space="0" w:color="auto"/>
        <w:bottom w:val="none" w:sz="0" w:space="0" w:color="auto"/>
        <w:right w:val="none" w:sz="0" w:space="0" w:color="auto"/>
      </w:divBdr>
    </w:div>
    <w:div w:id="1763793440">
      <w:bodyDiv w:val="1"/>
      <w:marLeft w:val="0"/>
      <w:marRight w:val="0"/>
      <w:marTop w:val="0"/>
      <w:marBottom w:val="0"/>
      <w:divBdr>
        <w:top w:val="none" w:sz="0" w:space="0" w:color="auto"/>
        <w:left w:val="none" w:sz="0" w:space="0" w:color="auto"/>
        <w:bottom w:val="none" w:sz="0" w:space="0" w:color="auto"/>
        <w:right w:val="none" w:sz="0" w:space="0" w:color="auto"/>
      </w:divBdr>
    </w:div>
    <w:div w:id="1776906391">
      <w:bodyDiv w:val="1"/>
      <w:marLeft w:val="0"/>
      <w:marRight w:val="0"/>
      <w:marTop w:val="0"/>
      <w:marBottom w:val="0"/>
      <w:divBdr>
        <w:top w:val="none" w:sz="0" w:space="0" w:color="auto"/>
        <w:left w:val="none" w:sz="0" w:space="0" w:color="auto"/>
        <w:bottom w:val="none" w:sz="0" w:space="0" w:color="auto"/>
        <w:right w:val="none" w:sz="0" w:space="0" w:color="auto"/>
      </w:divBdr>
    </w:div>
    <w:div w:id="1800149424">
      <w:bodyDiv w:val="1"/>
      <w:marLeft w:val="0"/>
      <w:marRight w:val="0"/>
      <w:marTop w:val="0"/>
      <w:marBottom w:val="0"/>
      <w:divBdr>
        <w:top w:val="none" w:sz="0" w:space="0" w:color="auto"/>
        <w:left w:val="none" w:sz="0" w:space="0" w:color="auto"/>
        <w:bottom w:val="none" w:sz="0" w:space="0" w:color="auto"/>
        <w:right w:val="none" w:sz="0" w:space="0" w:color="auto"/>
      </w:divBdr>
    </w:div>
    <w:div w:id="1821995699">
      <w:bodyDiv w:val="1"/>
      <w:marLeft w:val="0"/>
      <w:marRight w:val="0"/>
      <w:marTop w:val="0"/>
      <w:marBottom w:val="0"/>
      <w:divBdr>
        <w:top w:val="none" w:sz="0" w:space="0" w:color="auto"/>
        <w:left w:val="none" w:sz="0" w:space="0" w:color="auto"/>
        <w:bottom w:val="none" w:sz="0" w:space="0" w:color="auto"/>
        <w:right w:val="none" w:sz="0" w:space="0" w:color="auto"/>
      </w:divBdr>
    </w:div>
    <w:div w:id="1855728294">
      <w:bodyDiv w:val="1"/>
      <w:marLeft w:val="0"/>
      <w:marRight w:val="0"/>
      <w:marTop w:val="0"/>
      <w:marBottom w:val="0"/>
      <w:divBdr>
        <w:top w:val="none" w:sz="0" w:space="0" w:color="auto"/>
        <w:left w:val="none" w:sz="0" w:space="0" w:color="auto"/>
        <w:bottom w:val="none" w:sz="0" w:space="0" w:color="auto"/>
        <w:right w:val="none" w:sz="0" w:space="0" w:color="auto"/>
      </w:divBdr>
    </w:div>
    <w:div w:id="1901821126">
      <w:bodyDiv w:val="1"/>
      <w:marLeft w:val="0"/>
      <w:marRight w:val="0"/>
      <w:marTop w:val="0"/>
      <w:marBottom w:val="0"/>
      <w:divBdr>
        <w:top w:val="none" w:sz="0" w:space="0" w:color="auto"/>
        <w:left w:val="none" w:sz="0" w:space="0" w:color="auto"/>
        <w:bottom w:val="none" w:sz="0" w:space="0" w:color="auto"/>
        <w:right w:val="none" w:sz="0" w:space="0" w:color="auto"/>
      </w:divBdr>
    </w:div>
    <w:div w:id="1928734890">
      <w:bodyDiv w:val="1"/>
      <w:marLeft w:val="0"/>
      <w:marRight w:val="0"/>
      <w:marTop w:val="0"/>
      <w:marBottom w:val="0"/>
      <w:divBdr>
        <w:top w:val="none" w:sz="0" w:space="0" w:color="auto"/>
        <w:left w:val="none" w:sz="0" w:space="0" w:color="auto"/>
        <w:bottom w:val="none" w:sz="0" w:space="0" w:color="auto"/>
        <w:right w:val="none" w:sz="0" w:space="0" w:color="auto"/>
      </w:divBdr>
    </w:div>
    <w:div w:id="1967276932">
      <w:bodyDiv w:val="1"/>
      <w:marLeft w:val="0"/>
      <w:marRight w:val="0"/>
      <w:marTop w:val="0"/>
      <w:marBottom w:val="0"/>
      <w:divBdr>
        <w:top w:val="none" w:sz="0" w:space="0" w:color="auto"/>
        <w:left w:val="none" w:sz="0" w:space="0" w:color="auto"/>
        <w:bottom w:val="none" w:sz="0" w:space="0" w:color="auto"/>
        <w:right w:val="none" w:sz="0" w:space="0" w:color="auto"/>
      </w:divBdr>
    </w:div>
    <w:div w:id="1972900444">
      <w:bodyDiv w:val="1"/>
      <w:marLeft w:val="0"/>
      <w:marRight w:val="0"/>
      <w:marTop w:val="0"/>
      <w:marBottom w:val="0"/>
      <w:divBdr>
        <w:top w:val="none" w:sz="0" w:space="0" w:color="auto"/>
        <w:left w:val="none" w:sz="0" w:space="0" w:color="auto"/>
        <w:bottom w:val="none" w:sz="0" w:space="0" w:color="auto"/>
        <w:right w:val="none" w:sz="0" w:space="0" w:color="auto"/>
      </w:divBdr>
    </w:div>
    <w:div w:id="1980766696">
      <w:bodyDiv w:val="1"/>
      <w:marLeft w:val="0"/>
      <w:marRight w:val="0"/>
      <w:marTop w:val="0"/>
      <w:marBottom w:val="0"/>
      <w:divBdr>
        <w:top w:val="none" w:sz="0" w:space="0" w:color="auto"/>
        <w:left w:val="none" w:sz="0" w:space="0" w:color="auto"/>
        <w:bottom w:val="none" w:sz="0" w:space="0" w:color="auto"/>
        <w:right w:val="none" w:sz="0" w:space="0" w:color="auto"/>
      </w:divBdr>
    </w:div>
    <w:div w:id="1996033051">
      <w:bodyDiv w:val="1"/>
      <w:marLeft w:val="0"/>
      <w:marRight w:val="0"/>
      <w:marTop w:val="0"/>
      <w:marBottom w:val="0"/>
      <w:divBdr>
        <w:top w:val="none" w:sz="0" w:space="0" w:color="auto"/>
        <w:left w:val="none" w:sz="0" w:space="0" w:color="auto"/>
        <w:bottom w:val="none" w:sz="0" w:space="0" w:color="auto"/>
        <w:right w:val="none" w:sz="0" w:space="0" w:color="auto"/>
      </w:divBdr>
    </w:div>
    <w:div w:id="1996491460">
      <w:bodyDiv w:val="1"/>
      <w:marLeft w:val="0"/>
      <w:marRight w:val="0"/>
      <w:marTop w:val="0"/>
      <w:marBottom w:val="0"/>
      <w:divBdr>
        <w:top w:val="none" w:sz="0" w:space="0" w:color="auto"/>
        <w:left w:val="none" w:sz="0" w:space="0" w:color="auto"/>
        <w:bottom w:val="none" w:sz="0" w:space="0" w:color="auto"/>
        <w:right w:val="none" w:sz="0" w:space="0" w:color="auto"/>
      </w:divBdr>
    </w:div>
    <w:div w:id="1999532182">
      <w:bodyDiv w:val="1"/>
      <w:marLeft w:val="0"/>
      <w:marRight w:val="0"/>
      <w:marTop w:val="0"/>
      <w:marBottom w:val="0"/>
      <w:divBdr>
        <w:top w:val="none" w:sz="0" w:space="0" w:color="auto"/>
        <w:left w:val="none" w:sz="0" w:space="0" w:color="auto"/>
        <w:bottom w:val="none" w:sz="0" w:space="0" w:color="auto"/>
        <w:right w:val="none" w:sz="0" w:space="0" w:color="auto"/>
      </w:divBdr>
    </w:div>
    <w:div w:id="2020347627">
      <w:bodyDiv w:val="1"/>
      <w:marLeft w:val="0"/>
      <w:marRight w:val="0"/>
      <w:marTop w:val="0"/>
      <w:marBottom w:val="0"/>
      <w:divBdr>
        <w:top w:val="none" w:sz="0" w:space="0" w:color="auto"/>
        <w:left w:val="none" w:sz="0" w:space="0" w:color="auto"/>
        <w:bottom w:val="none" w:sz="0" w:space="0" w:color="auto"/>
        <w:right w:val="none" w:sz="0" w:space="0" w:color="auto"/>
      </w:divBdr>
    </w:div>
    <w:div w:id="2024553349">
      <w:bodyDiv w:val="1"/>
      <w:marLeft w:val="0"/>
      <w:marRight w:val="0"/>
      <w:marTop w:val="0"/>
      <w:marBottom w:val="0"/>
      <w:divBdr>
        <w:top w:val="none" w:sz="0" w:space="0" w:color="auto"/>
        <w:left w:val="none" w:sz="0" w:space="0" w:color="auto"/>
        <w:bottom w:val="none" w:sz="0" w:space="0" w:color="auto"/>
        <w:right w:val="none" w:sz="0" w:space="0" w:color="auto"/>
      </w:divBdr>
    </w:div>
    <w:div w:id="2025396037">
      <w:bodyDiv w:val="1"/>
      <w:marLeft w:val="0"/>
      <w:marRight w:val="0"/>
      <w:marTop w:val="0"/>
      <w:marBottom w:val="0"/>
      <w:divBdr>
        <w:top w:val="none" w:sz="0" w:space="0" w:color="auto"/>
        <w:left w:val="none" w:sz="0" w:space="0" w:color="auto"/>
        <w:bottom w:val="none" w:sz="0" w:space="0" w:color="auto"/>
        <w:right w:val="none" w:sz="0" w:space="0" w:color="auto"/>
      </w:divBdr>
    </w:div>
    <w:div w:id="2025595513">
      <w:bodyDiv w:val="1"/>
      <w:marLeft w:val="0"/>
      <w:marRight w:val="0"/>
      <w:marTop w:val="0"/>
      <w:marBottom w:val="0"/>
      <w:divBdr>
        <w:top w:val="none" w:sz="0" w:space="0" w:color="auto"/>
        <w:left w:val="none" w:sz="0" w:space="0" w:color="auto"/>
        <w:bottom w:val="none" w:sz="0" w:space="0" w:color="auto"/>
        <w:right w:val="none" w:sz="0" w:space="0" w:color="auto"/>
      </w:divBdr>
    </w:div>
    <w:div w:id="2026713269">
      <w:bodyDiv w:val="1"/>
      <w:marLeft w:val="0"/>
      <w:marRight w:val="0"/>
      <w:marTop w:val="0"/>
      <w:marBottom w:val="0"/>
      <w:divBdr>
        <w:top w:val="none" w:sz="0" w:space="0" w:color="auto"/>
        <w:left w:val="none" w:sz="0" w:space="0" w:color="auto"/>
        <w:bottom w:val="none" w:sz="0" w:space="0" w:color="auto"/>
        <w:right w:val="none" w:sz="0" w:space="0" w:color="auto"/>
      </w:divBdr>
    </w:div>
    <w:div w:id="2030981745">
      <w:bodyDiv w:val="1"/>
      <w:marLeft w:val="0"/>
      <w:marRight w:val="0"/>
      <w:marTop w:val="0"/>
      <w:marBottom w:val="0"/>
      <w:divBdr>
        <w:top w:val="none" w:sz="0" w:space="0" w:color="auto"/>
        <w:left w:val="none" w:sz="0" w:space="0" w:color="auto"/>
        <w:bottom w:val="none" w:sz="0" w:space="0" w:color="auto"/>
        <w:right w:val="none" w:sz="0" w:space="0" w:color="auto"/>
      </w:divBdr>
    </w:div>
    <w:div w:id="2056853766">
      <w:bodyDiv w:val="1"/>
      <w:marLeft w:val="0"/>
      <w:marRight w:val="0"/>
      <w:marTop w:val="0"/>
      <w:marBottom w:val="0"/>
      <w:divBdr>
        <w:top w:val="none" w:sz="0" w:space="0" w:color="auto"/>
        <w:left w:val="none" w:sz="0" w:space="0" w:color="auto"/>
        <w:bottom w:val="none" w:sz="0" w:space="0" w:color="auto"/>
        <w:right w:val="none" w:sz="0" w:space="0" w:color="auto"/>
      </w:divBdr>
    </w:div>
    <w:div w:id="2079281370">
      <w:bodyDiv w:val="1"/>
      <w:marLeft w:val="0"/>
      <w:marRight w:val="0"/>
      <w:marTop w:val="0"/>
      <w:marBottom w:val="0"/>
      <w:divBdr>
        <w:top w:val="none" w:sz="0" w:space="0" w:color="auto"/>
        <w:left w:val="none" w:sz="0" w:space="0" w:color="auto"/>
        <w:bottom w:val="none" w:sz="0" w:space="0" w:color="auto"/>
        <w:right w:val="none" w:sz="0" w:space="0" w:color="auto"/>
      </w:divBdr>
    </w:div>
    <w:div w:id="2100589791">
      <w:bodyDiv w:val="1"/>
      <w:marLeft w:val="0"/>
      <w:marRight w:val="0"/>
      <w:marTop w:val="0"/>
      <w:marBottom w:val="0"/>
      <w:divBdr>
        <w:top w:val="none" w:sz="0" w:space="0" w:color="auto"/>
        <w:left w:val="none" w:sz="0" w:space="0" w:color="auto"/>
        <w:bottom w:val="none" w:sz="0" w:space="0" w:color="auto"/>
        <w:right w:val="none" w:sz="0" w:space="0" w:color="auto"/>
      </w:divBdr>
    </w:div>
    <w:div w:id="2112385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lobenewswire.com/Tracker?data=fLbJuCtaPJzWUTpUfV3f4Ms4haxBeD3f9uuIZXaGUtzq9v0IXevkhYvwjUss0zm_sBdV4URKOu_ZKcbLlh9wBRD_8o0_vypdi2hXQQSA2DDiQtc1XI2yXj-7opMJm77yDNEDlLw0P7XIcDCqUpVuxA==" TargetMode="External"/><Relationship Id="rId13" Type="http://schemas.openxmlformats.org/officeDocument/2006/relationships/hyperlink" Target="https://ml-eu.globenewswire.com/Resource/Download/cb584839-4d4a-4f7c-9b7d-67fa214ff2cc"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lobenewswire.com/Tracker?data=Q4ngn1e1Rm6i4lHeoTO-cxegrKsUc8cymtaKo-bCbIcECEFSqYu6zdnUkoCqzQYOVN6ppH6TNnELMyisACNc_Q=="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lobenewswire.com/Tracker?data=Q4ngn1e1Rm6i4lHeoTO-cwS-xrHdhAVUIttloswBO-5Y8gImFtvxC-UFnuBQsTTLwwSi7D_ONpIDxPbJijsBMA==" TargetMode="External"/><Relationship Id="rId5" Type="http://schemas.openxmlformats.org/officeDocument/2006/relationships/webSettings" Target="webSettings.xml"/><Relationship Id="rId15" Type="http://schemas.openxmlformats.org/officeDocument/2006/relationships/image" Target="media/image2.gif"/><Relationship Id="rId10" Type="http://schemas.openxmlformats.org/officeDocument/2006/relationships/hyperlink" Target="https://www.globenewswire.com/Tracker?data=qc4uXkyw81g9C-5Do5KIpCso4ZiC1WcSo1lwzKMEKWomJdAZz5QWQhYIsXTC7yMLLIHa7rHKpv8GJ6N8J13Gh9emW5ZWSD7yU7AKsdTVSiadkOY3U-5mcZqguO8FZArn2oRyplGbpvdUgJU6AtcXMPUg1YgLA4FrTOCfw7OTzhzt_3raYkkR28UWGUmNVX6MFFLeL9RDXRhx853jAvQDtFj5BDmPa9nMM_FJzrMJEvtOt-nCjf_j6vH85274lSf2"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globenewswire.com/Tracker?data=fLbJuCtaPJzWUTpUfV3f4HV8MH8c-Z2_amP03pjZ55etvUDAtOCMzL3V5IHxKtf0FDlPG14ZUewQqWbIP1NcoQqlD_KwPzfo--3_m9fV_TdVR1yC8ZS7VM_znrj6Eo55b1zXzrloPhPuTa-9d4YWZ3cN00Dabd6hZ6tz5IupT5C63LetmVTdC6PblrE7htGRCBv8wFKM7hLXfyALG838W8_kvsi7CJ_eO7U73UUsI0jLvBnL1DI0hxwb_foG1_TRo0umeua_jffnTNHl_c9rGA==" TargetMode="External"/><Relationship Id="rId14" Type="http://schemas.openxmlformats.org/officeDocument/2006/relationships/image" Target="media/image1.gif"/></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57713C-806F-417F-BE55-5041392B8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3132</Words>
  <Characters>15664</Characters>
  <Application>Microsoft Office Word</Application>
  <DocSecurity>0</DocSecurity>
  <Lines>130</Lines>
  <Paragraphs>37</Paragraphs>
  <ScaleCrop>false</ScaleCrop>
  <HeadingPairs>
    <vt:vector size="2" baseType="variant">
      <vt:variant>
        <vt:lpstr>שם</vt:lpstr>
      </vt:variant>
      <vt:variant>
        <vt:i4>1</vt:i4>
      </vt:variant>
    </vt:vector>
  </HeadingPairs>
  <TitlesOfParts>
    <vt:vector size="1" baseType="lpstr">
      <vt:lpstr> </vt:lpstr>
    </vt:vector>
  </TitlesOfParts>
  <Company>Hewlett-Packard</Company>
  <LinksUpToDate>false</LinksUpToDate>
  <CharactersWithSpaces>18759</CharactersWithSpaces>
  <SharedDoc>false</SharedDoc>
  <HLinks>
    <vt:vector size="18" baseType="variant">
      <vt:variant>
        <vt:i4>6488073</vt:i4>
      </vt:variant>
      <vt:variant>
        <vt:i4>9</vt:i4>
      </vt:variant>
      <vt:variant>
        <vt:i4>0</vt:i4>
      </vt:variant>
      <vt:variant>
        <vt:i4>5</vt:i4>
      </vt:variant>
      <vt:variant>
        <vt:lpwstr>https://www.globenewswire.com/Tracker?data=tH5Cjtigak9vgAY4_9odZsjU_IyyISl63D5UQR7JOEGY8aJTkQQw9XgMNLPUgX8--w4bUI24FoWdIDr7HuBMz6oSjzkgHkW5UK1B0w5LjLDzNhqp21LXar89RkFAKCw4PheqZ_iPOFpx61a68jS_orptqNxkfBr99_ymrbWWy0GTBq4J1XNmQzpwmdfr5Oq4Og96Rz2hvtjthKNsvIOBBhTjDbuUzKirdIOQGRgrprBoa0wZRdFOBTRUv_v7mnidjSlEGTlndPbYTlI0i5AKbA==</vt:lpwstr>
      </vt:variant>
      <vt:variant>
        <vt:lpwstr/>
      </vt:variant>
      <vt:variant>
        <vt:i4>1703996</vt:i4>
      </vt:variant>
      <vt:variant>
        <vt:i4>6</vt:i4>
      </vt:variant>
      <vt:variant>
        <vt:i4>0</vt:i4>
      </vt:variant>
      <vt:variant>
        <vt:i4>5</vt:i4>
      </vt:variant>
      <vt:variant>
        <vt:lpwstr>https://www.globenewswire.com/Tracker?data=cm82mOGVpo6EZtmE953jdbSenIZyX_VY93edFK3t323oe9xbtRqrhOOPzrzCRvERV49RyfcdFT0BNvjmWXvk_5-rU_Zd4Dj9jczFGRnjGPtLzxgI4jFQGiJryIrCa2d7</vt:lpwstr>
      </vt:variant>
      <vt:variant>
        <vt:lpwstr/>
      </vt:variant>
      <vt:variant>
        <vt:i4>4718618</vt:i4>
      </vt:variant>
      <vt:variant>
        <vt:i4>3</vt:i4>
      </vt:variant>
      <vt:variant>
        <vt:i4>0</vt:i4>
      </vt:variant>
      <vt:variant>
        <vt:i4>5</vt:i4>
      </vt:variant>
      <vt:variant>
        <vt:lpwstr>https://www.globenewswire.com/Tracker?data=1gxVc5NWfC1J0yVCuANn-FZNTAAfUTxX3P96_8HuM63dnvsDNU-_5gf-y3DnurUmVQYPwKCN7vsKF44kdJbzsQ==</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michal</dc:creator>
  <cp:keywords/>
  <dc:description/>
  <cp:lastModifiedBy>ZNOY@INTER.NET.IL</cp:lastModifiedBy>
  <cp:revision>3</cp:revision>
  <cp:lastPrinted>2016-02-02T16:39:00Z</cp:lastPrinted>
  <dcterms:created xsi:type="dcterms:W3CDTF">2025-11-14T03:35:00Z</dcterms:created>
  <dcterms:modified xsi:type="dcterms:W3CDTF">2025-11-14T03:36:00Z</dcterms:modified>
</cp:coreProperties>
</file>